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6C83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47678B98" w14:textId="77777777" w:rsidR="009B63F3" w:rsidRPr="00B73E97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25,535.3</w:t>
      </w:r>
      <w:r w:rsidR="00311D8A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B73E97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„სახელმწიფო ვალის შესახებ“ საქართველოს კანონით გათვალისწინებულ სახელმწიფო ვალი, გარდა საქართველოს ეროვნული ბანკის მიერ აღებული ვალდებულებებისა - </w:t>
      </w:r>
      <w:r w:rsidR="007350CD" w:rsidRPr="00B73E97">
        <w:rPr>
          <w:rFonts w:ascii="Sylfaen" w:hAnsi="Sylfaen"/>
          <w:szCs w:val="21"/>
          <w:shd w:val="clear" w:color="auto" w:fill="FFFFFF"/>
          <w:lang w:val="ka-GE"/>
        </w:rPr>
        <w:t>25,525.9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9682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7350CD" w:rsidRPr="00B73E97">
        <w:rPr>
          <w:rFonts w:ascii="Sylfaen" w:hAnsi="Sylfaen"/>
          <w:szCs w:val="21"/>
          <w:shd w:val="clear" w:color="auto" w:fill="FFFFFF"/>
          <w:lang w:val="ka-GE"/>
        </w:rPr>
        <w:t>9</w:t>
      </w:r>
      <w:r w:rsidR="000A7B97" w:rsidRPr="00B73E97">
        <w:rPr>
          <w:rFonts w:ascii="Sylfaen" w:hAnsi="Sylfaen"/>
          <w:szCs w:val="21"/>
          <w:shd w:val="clear" w:color="auto" w:fill="FFFFFF"/>
          <w:lang w:val="ka-GE"/>
        </w:rPr>
        <w:t>.4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14:paraId="6A633449" w14:textId="77777777" w:rsidR="006F4202" w:rsidRPr="00B73E97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7350CD" w:rsidRPr="00B73E97">
        <w:rPr>
          <w:rFonts w:ascii="Sylfaen" w:hAnsi="Sylfaen"/>
          <w:szCs w:val="21"/>
          <w:shd w:val="clear" w:color="auto" w:fill="FFFFFF"/>
          <w:lang w:val="ka-GE"/>
        </w:rPr>
        <w:t xml:space="preserve">19,962.2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B4007" w:rsidRPr="00B73E97">
        <w:rPr>
          <w:rFonts w:ascii="Sylfaen" w:hAnsi="Sylfaen"/>
          <w:szCs w:val="21"/>
          <w:shd w:val="clear" w:color="auto" w:fill="FFFFFF"/>
          <w:lang w:val="ka-GE"/>
        </w:rPr>
        <w:t>7</w:t>
      </w:r>
      <w:r w:rsidR="0005462B" w:rsidRPr="00B73E97">
        <w:rPr>
          <w:rFonts w:ascii="Sylfaen" w:hAnsi="Sylfaen"/>
          <w:szCs w:val="21"/>
          <w:shd w:val="clear" w:color="auto" w:fill="FFFFFF"/>
        </w:rPr>
        <w:t>8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0A7B97" w:rsidRPr="00B73E97">
        <w:rPr>
          <w:rFonts w:ascii="Sylfaen" w:hAnsi="Sylfaen"/>
          <w:szCs w:val="21"/>
          <w:shd w:val="clear" w:color="auto" w:fill="FFFFFF"/>
          <w:lang w:val="ka-GE"/>
        </w:rPr>
        <w:t>1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05462B" w:rsidRPr="00B73E97">
        <w:rPr>
          <w:rFonts w:ascii="Sylfaen" w:hAnsi="Sylfaen"/>
          <w:szCs w:val="21"/>
          <w:shd w:val="clear" w:color="auto" w:fill="FFFFFF"/>
        </w:rPr>
        <w:t>2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B73E97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05462B" w:rsidRPr="00B73E97">
        <w:rPr>
          <w:rFonts w:ascii="Sylfaen" w:hAnsi="Sylfaen"/>
          <w:szCs w:val="21"/>
          <w:shd w:val="clear" w:color="auto" w:fill="FFFFFF"/>
        </w:rPr>
        <w:t>8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1.</w:t>
      </w:r>
      <w:r w:rsidR="0005462B" w:rsidRPr="00B73E97">
        <w:rPr>
          <w:rFonts w:ascii="Sylfaen" w:hAnsi="Sylfaen" w:cs="Sylfaen"/>
          <w:szCs w:val="21"/>
          <w:shd w:val="clear" w:color="auto" w:fill="FFFFFF"/>
        </w:rPr>
        <w:t>48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7AD9CE33" w14:textId="77777777" w:rsidR="006F4202" w:rsidRPr="00B73E97" w:rsidRDefault="00396821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07FA37" wp14:editId="6C16D822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4B526" w14:textId="77777777" w:rsidR="00A73AAA" w:rsidRPr="00A33B48" w:rsidRDefault="00A73AA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535666A5" w14:textId="77777777" w:rsidR="00A73AAA" w:rsidRPr="00A33B48" w:rsidRDefault="00A73AA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5462B">
                                <w:rPr>
                                  <w:rFonts w:ascii="Sylfaen" w:hAnsi="Sylfaen" w:cstheme="minorBidi"/>
                                  <w:b/>
                                  <w:color w:val="C0504D" w:themeColor="accent2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 w:rsidRPr="0005462B">
                                <w:rPr>
                                  <w:rFonts w:ascii="Sylfaen" w:hAnsi="Sylfaen" w:cstheme="minorBidi"/>
                                  <w:b/>
                                  <w:color w:val="C0504D" w:themeColor="accent2"/>
                                  <w:kern w:val="24"/>
                                  <w:sz w:val="16"/>
                                  <w:szCs w:val="16"/>
                                </w:rPr>
                                <w:t>48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34AC9AE3" w14:textId="77777777" w:rsidR="00A73AAA" w:rsidRPr="00A33B48" w:rsidRDefault="00A73AA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2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5CBED33A" w14:textId="77777777" w:rsidR="00A73AAA" w:rsidRPr="00DE4001" w:rsidRDefault="00A73AA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2B2A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A73AAA" w:rsidRPr="00A33B48" w:rsidRDefault="00A73AA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A73AAA" w:rsidRPr="00A33B48" w:rsidRDefault="00A73AA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5462B">
                          <w:rPr>
                            <w:rFonts w:ascii="Sylfaen" w:hAnsi="Sylfaen" w:cstheme="minorBidi"/>
                            <w:b/>
                            <w:color w:val="C0504D" w:themeColor="accent2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 w:rsidRPr="0005462B">
                          <w:rPr>
                            <w:rFonts w:ascii="Sylfaen" w:hAnsi="Sylfaen" w:cstheme="minorBidi"/>
                            <w:b/>
                            <w:color w:val="C0504D" w:themeColor="accent2"/>
                            <w:kern w:val="24"/>
                            <w:sz w:val="16"/>
                            <w:szCs w:val="16"/>
                          </w:rPr>
                          <w:t>48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A73AAA" w:rsidRPr="00A33B48" w:rsidRDefault="00A73AA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proofErr w:type="gramEnd"/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2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A73AAA" w:rsidRPr="00DE4001" w:rsidRDefault="00A73AA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436E8D7B" wp14:editId="03368EB7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 აგვისტოს</w:t>
      </w:r>
      <w:r w:rsidR="00EB0EE9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10C87A22" w14:textId="77777777" w:rsidR="003C2AE8" w:rsidRPr="00B73E97" w:rsidRDefault="00764192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</w:t>
      </w:r>
    </w:p>
    <w:p w14:paraId="76022AB6" w14:textId="77777777" w:rsidR="00B57E95" w:rsidRPr="00B73E97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4C2D8971" w14:textId="77777777" w:rsidR="006F4202" w:rsidRPr="00B73E97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3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28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14:paraId="09FEA1AD" w14:textId="77777777" w:rsidR="00B7509F" w:rsidRPr="00B73E97" w:rsidRDefault="00570C98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 xml:space="preserve">  </w:t>
      </w:r>
    </w:p>
    <w:p w14:paraId="088D135D" w14:textId="77777777" w:rsidR="00A93CD1" w:rsidRPr="00B73E97" w:rsidRDefault="00BD3AD8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 w:rsidRPr="00B73E97">
        <w:rPr>
          <w:noProof/>
        </w:rPr>
        <w:drawing>
          <wp:anchor distT="0" distB="0" distL="114300" distR="114300" simplePos="0" relativeHeight="251665408" behindDoc="0" locked="0" layoutInCell="1" allowOverlap="1" wp14:anchorId="5F0DAC97" wp14:editId="2AA2F9D8">
            <wp:simplePos x="0" y="0"/>
            <wp:positionH relativeFrom="column">
              <wp:posOffset>224155</wp:posOffset>
            </wp:positionH>
            <wp:positionV relativeFrom="paragraph">
              <wp:posOffset>163195</wp:posOffset>
            </wp:positionV>
            <wp:extent cx="2581275" cy="1331595"/>
            <wp:effectExtent l="0" t="0" r="0" b="190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B73E97">
        <w:rPr>
          <w:noProof/>
        </w:rPr>
        <w:drawing>
          <wp:anchor distT="0" distB="0" distL="114300" distR="114300" simplePos="0" relativeHeight="251664384" behindDoc="0" locked="0" layoutInCell="1" allowOverlap="1" wp14:anchorId="4957ADE8" wp14:editId="43B78056">
            <wp:simplePos x="0" y="0"/>
            <wp:positionH relativeFrom="column">
              <wp:posOffset>3986258</wp:posOffset>
            </wp:positionH>
            <wp:positionV relativeFrom="paragraph">
              <wp:posOffset>163195</wp:posOffset>
            </wp:positionV>
            <wp:extent cx="1963420" cy="1350645"/>
            <wp:effectExtent l="0" t="0" r="0" b="190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C7C07" w14:textId="77777777" w:rsidR="00A93CD1" w:rsidRPr="00B73E97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14:paraId="709ED695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189AFB42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0CA5C076" w14:textId="77777777" w:rsidR="00071D1D" w:rsidRPr="00B73E97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20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14:paraId="4DD52C28" w14:textId="77777777" w:rsidR="009139F2" w:rsidRPr="00B73E97" w:rsidRDefault="009139F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590"/>
        <w:gridCol w:w="530"/>
        <w:gridCol w:w="10"/>
        <w:gridCol w:w="1260"/>
        <w:gridCol w:w="1350"/>
        <w:gridCol w:w="1350"/>
        <w:gridCol w:w="1330"/>
        <w:gridCol w:w="8"/>
        <w:gridCol w:w="12"/>
        <w:gridCol w:w="1260"/>
        <w:gridCol w:w="8"/>
      </w:tblGrid>
      <w:tr w:rsidR="00032625" w:rsidRPr="00B73E97" w14:paraId="4CC9D5B0" w14:textId="77777777" w:rsidTr="00C0485E">
        <w:trPr>
          <w:gridBefore w:val="1"/>
          <w:gridAfter w:val="1"/>
          <w:wBefore w:w="10" w:type="dxa"/>
          <w:wAfter w:w="8" w:type="dxa"/>
          <w:trHeight w:hRule="exact" w:val="431"/>
          <w:tblHeader/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EAB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ABA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B1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4F5E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99D5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E6F6D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31.08.2020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97775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032625" w:rsidRPr="00B73E97" w14:paraId="59B6A529" w14:textId="77777777" w:rsidTr="00C0485E">
        <w:trPr>
          <w:gridBefore w:val="1"/>
          <w:gridAfter w:val="1"/>
          <w:wBefore w:w="10" w:type="dxa"/>
          <w:wAfter w:w="8" w:type="dxa"/>
          <w:trHeight w:hRule="exact" w:val="474"/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7AAA9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AFA8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6,503,179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6AAF1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19,962,159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CBE43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FEEA2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A6BC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032625" w:rsidRPr="00B73E97" w14:paraId="613EAEC2" w14:textId="77777777" w:rsidTr="00C0485E">
        <w:trPr>
          <w:gridBefore w:val="1"/>
          <w:gridAfter w:val="1"/>
          <w:wBefore w:w="10" w:type="dxa"/>
          <w:wAfter w:w="8" w:type="dxa"/>
          <w:trHeight w:hRule="exact" w:val="341"/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EEB023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8C1D1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4,603,841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E7CBE7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14,131,949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A42C5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46775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5C83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032625" w:rsidRPr="00B73E97" w14:paraId="631E26E6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2C3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>(WB - IDA)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BE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50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679,728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889F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2,086,493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0F68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EB5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B468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0.078%</w:t>
            </w:r>
          </w:p>
        </w:tc>
      </w:tr>
      <w:tr w:rsidR="00032625" w:rsidRPr="00B73E97" w14:paraId="64E0DF9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72EA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69CF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25D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236,992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6AA0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727,472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5126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ECC2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C02B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0.073%</w:t>
            </w:r>
          </w:p>
        </w:tc>
      </w:tr>
      <w:tr w:rsidR="00032625" w:rsidRPr="00B73E97" w14:paraId="7B4EFFFF" w14:textId="77777777" w:rsidTr="00C0485E">
        <w:trPr>
          <w:gridBefore w:val="1"/>
          <w:gridAfter w:val="1"/>
          <w:wBefore w:w="10" w:type="dxa"/>
          <w:wAfter w:w="8" w:type="dxa"/>
          <w:trHeight w:hRule="exact" w:val="493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F3F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5A36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4BC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9,073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566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27,850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D69B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E339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E80C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2E888F3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D233" w14:textId="77777777" w:rsidR="00032625" w:rsidRPr="00032625" w:rsidRDefault="00BD3AD8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საერთაშორისო განვითარების და რეკონსტრუქციის ბანკი (</w:t>
            </w:r>
            <w:r w:rsidR="00032625" w:rsidRPr="00032625">
              <w:rPr>
                <w:rFonts w:ascii="Calibri" w:eastAsia="Times New Roman" w:hAnsi="Calibri" w:cs="Calibri"/>
                <w:sz w:val="18"/>
                <w:szCs w:val="18"/>
              </w:rPr>
              <w:t>WB - IBRD)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AC0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0B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53,132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EA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163,093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128D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993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1.39%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91B4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032625" w:rsidRPr="00B73E97" w14:paraId="0F57A89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218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0AD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CF0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52,660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3F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161,644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C36C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  <w:proofErr w:type="spellStart"/>
            <w:r w:rsidRPr="00032625">
              <w:rPr>
                <w:rFonts w:ascii="Calibri" w:eastAsia="Times New Roman" w:hAnsi="Calibri" w:cs="Calibri"/>
                <w:sz w:val="12"/>
                <w:szCs w:val="12"/>
              </w:rPr>
              <w:t>Euribor+VS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F6D6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0.67%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3F55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032625" w:rsidRPr="00B73E97" w14:paraId="6CC267BA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026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95B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FD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62,983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D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193,333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CF584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B3BF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0.82%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8633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</w:tr>
      <w:tr w:rsidR="00032625" w:rsidRPr="00B73E97" w14:paraId="5390F52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406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EB18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B5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30,687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F4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94,197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F7A5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5AC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1.11%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BAB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7244920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1BA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AAA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87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163,291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30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501,237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AFE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E971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64DD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032625" w:rsidRPr="00B73E97" w14:paraId="0F240914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485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D335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DB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43,273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C6B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132,832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12FC0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C409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0.84%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6875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67A5F1CD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F54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29F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0B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148,407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B9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455,550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55896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F2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1.04%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7FC4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032625" w:rsidRPr="00B73E97" w14:paraId="69841DFB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46A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52DD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5B4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133,552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29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409,951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3ABBB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E7F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F282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032625" w:rsidRPr="00B73E97" w14:paraId="2C1F374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20C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8DF5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C1C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24,442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4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75,026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5561D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98A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1.37%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C5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1BC02D10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91DE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D33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58E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83,894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6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257,520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97D8F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269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44C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032625" w:rsidRPr="00B73E97" w14:paraId="36BD227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D885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6C8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86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50,232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62B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154,192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C4998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3BC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1.49%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B8F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032625" w:rsidRPr="00B73E97" w14:paraId="28F26D7E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17C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E9A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E1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32,124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AC0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98,608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0D043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803E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1.72%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99A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032625" w:rsidRPr="00B73E97" w14:paraId="2A1D3E8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3BB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87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919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8,948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7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27,467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4913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71E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1.92%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36E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4BD7C5A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3EC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E0B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A6B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6,795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C8D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20,859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6DBE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FC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2.08%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B46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0A67A13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7E6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C3A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B2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61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368,352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55DB2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5E02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2.22%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28B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0.041%</w:t>
            </w:r>
          </w:p>
        </w:tc>
      </w:tr>
      <w:tr w:rsidR="00032625" w:rsidRPr="00B73E97" w14:paraId="6D7653B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7F5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131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B92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18,317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498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56,227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CD93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6F14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C46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1E202FA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EC8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72C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E24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11,599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C1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35,605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FCB6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A2DB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7B6E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032625" w:rsidRPr="00B73E97" w14:paraId="3A87846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02C6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0B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07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3,898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226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11,965.49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91E6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071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158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104C055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8C59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2FF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7E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2F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2,718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F034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653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0.98%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4E6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0240851F" w14:textId="77777777" w:rsidTr="00C0485E">
        <w:trPr>
          <w:gridBefore w:val="1"/>
          <w:gridAfter w:val="1"/>
          <w:wBefore w:w="10" w:type="dxa"/>
          <w:wAfter w:w="8" w:type="dxa"/>
          <w:trHeight w:hRule="exact" w:val="493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425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სავალუტო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(IMF EFF,MOF)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96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D14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208,580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31D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640,256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FE2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BB5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1.08%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EBE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0.035%</w:t>
            </w:r>
          </w:p>
        </w:tc>
      </w:tr>
      <w:tr w:rsidR="00032625" w:rsidRPr="00B73E97" w14:paraId="43E0484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953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0326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ECC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C3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11,807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9E6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36,243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E49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EC9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63D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00E1EF2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F04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C27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33A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15,349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DD2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47,116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FACD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7344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AF7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5DE2953A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937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367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5F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17,711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67B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54,365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2E9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903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E97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4CF184AD" w14:textId="77777777" w:rsidTr="00C0485E">
        <w:trPr>
          <w:gridBefore w:val="1"/>
          <w:gridAfter w:val="1"/>
          <w:wBefore w:w="10" w:type="dxa"/>
          <w:wAfter w:w="8" w:type="dxa"/>
          <w:trHeight w:hRule="exact" w:val="664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19A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17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FB8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154,647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6E9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474,706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E56F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B149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0.91%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22DB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032625" w:rsidRPr="00B73E97" w14:paraId="61B5E21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E0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1D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E2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62,526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7A5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191,930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023B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7A0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AA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032625" w:rsidRPr="00B73E97" w14:paraId="0C2E1AA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97D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6E5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EC2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348,452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35A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1,069,609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AC75A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A58D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18E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0.080%</w:t>
            </w:r>
          </w:p>
        </w:tc>
      </w:tr>
      <w:tr w:rsidR="00032625" w:rsidRPr="00B73E97" w14:paraId="620D596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05B9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A10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1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37,478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31C2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115,043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6CAFC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15A4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1844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32625" w:rsidRPr="00B73E97" w14:paraId="7FBBC1E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AF58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9BEE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06E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234,081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5A4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718,534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F67D9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D5E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DA0B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0.072%</w:t>
            </w:r>
          </w:p>
        </w:tc>
      </w:tr>
      <w:tr w:rsidR="00032625" w:rsidRPr="00B73E97" w14:paraId="2D2E3B1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9CB6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E3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2F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108,982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E28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334,530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469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E2F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0.26%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502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032625" w:rsidRPr="00B73E97" w14:paraId="6EA010F9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DC76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7C9C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D4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20,550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04A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63,081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61A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 + FS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3940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0.11%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494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0952A36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B7FFE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19DB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F41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127,276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D21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390,687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73F3E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0A5F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0.30%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74F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74D070BD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2D24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A1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849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80,703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D62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247,727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7BFB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1B73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0.58%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983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339C3F2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20A4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3D4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86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69,909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A9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214,592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1E3F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LIBOR + FS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C64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0.74%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8C4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032625" w:rsidRPr="00B73E97" w14:paraId="31B6804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F016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57E2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8D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853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140,690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A7856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FA7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0.82%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819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2B46A1CB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5133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025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FF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37,244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7F0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114,325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0F841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0C5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0.94%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569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3C632A1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9C05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8A0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A9E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45,580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D27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139,911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2D48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6AA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0.96%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644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559D275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52A6B2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DB8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E6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45,833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84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140,690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A39D2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C7B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1.04%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FDA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433A8C8D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BE9C3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A28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C45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12,667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95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38,882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5968D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07B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1.18%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158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2EA771B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EDE4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146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D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65,274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027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200,365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6CF60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4FB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1.22%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67D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032625" w:rsidRPr="00B73E97" w14:paraId="0D54573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1F4F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0454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BDE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42,928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7D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131,771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C2E4E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3F87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1.44%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B2F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32625" w:rsidRPr="00B73E97" w14:paraId="104A3BA6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B11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FD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EA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16,660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19E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51,138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C21C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C1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1.51%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AAF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032625" w:rsidRPr="00B73E97" w14:paraId="2E9F1C20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F085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3AC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FFD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30,584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B88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93,881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024D4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BF3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1.79%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59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032625" w:rsidRPr="00B73E97" w14:paraId="0436DF7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13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8B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15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33,511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93B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102,866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27CB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032625">
              <w:rPr>
                <w:rFonts w:ascii="Calibri" w:eastAsia="Times New Roman" w:hAnsi="Calibri" w:cs="Calibri"/>
                <w:sz w:val="14"/>
                <w:szCs w:val="14"/>
              </w:rPr>
              <w:t>LIBOR + VS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8E7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2.14%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1D9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032625" w:rsidRPr="00B73E97" w14:paraId="1E581467" w14:textId="77777777" w:rsidTr="00C0485E">
        <w:trPr>
          <w:gridBefore w:val="1"/>
          <w:gridAfter w:val="1"/>
          <w:wBefore w:w="10" w:type="dxa"/>
          <w:wAfter w:w="8" w:type="dxa"/>
          <w:trHeight w:hRule="exact" w:val="286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77A0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0EF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0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36,027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D6E4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110,587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CA56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 + VS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89A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0.99%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987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4BB831CD" w14:textId="77777777" w:rsidTr="00C0485E">
        <w:trPr>
          <w:gridBefore w:val="1"/>
          <w:gridAfter w:val="1"/>
          <w:wBefore w:w="10" w:type="dxa"/>
          <w:wAfter w:w="8" w:type="dxa"/>
          <w:trHeight w:hRule="exact" w:val="673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0F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83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9A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CB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3,267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916F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 + VS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C05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0.31%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CAA9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1184E23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56F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40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88E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100,360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B19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308,066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236D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C08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0A5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546BE86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E73BC9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D65C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B83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23,614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FA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72,486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EF5D3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0EF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35A4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51D402E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FAC9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D937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D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9,861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BE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30,269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BE854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4BF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D01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1DBA422B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032E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CCF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C8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23,614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76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72,486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AE9A9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69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C68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0453848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9366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8CB8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107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11,807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E2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36,243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CF64D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630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D1B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3F6A333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0964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1DAB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04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26,052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1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79,969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B6DFE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83D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A0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1CF5FF9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C5412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2171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F4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23,614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03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72,486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FA87B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6C1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1.937%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E06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1F1CDD3D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C3F72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AB33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E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197,769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602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607,070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81E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7EE4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3F2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66417FC9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042B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CC40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B81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35,421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30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108,729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AF51A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CA5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0.11%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2E7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14976430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040F2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58789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88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17,711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B2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54,365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76A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FEA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0.14%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C46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046B2C0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B502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529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38B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23,614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71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72,486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B97F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EC8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0.15%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B74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7705586F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F1B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BAA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0D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88,553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C3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271,823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8597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0A3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0.22%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D3B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1A8D5504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956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79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B2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3,542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D45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10,873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FE3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39B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07D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1F4AEAB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33DB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459D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9A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13,285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2C0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40,781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912D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679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451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0808A2B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DE8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A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D1A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67,584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6E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207,455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CF72A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190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0.57%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DE2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47F5E9B0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6F57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3856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DC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10,983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B94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33,714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58588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8E43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7320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6B1A4F3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12EDEA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DEFD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00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39,475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67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121,173</w:t>
            </w: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A830B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225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18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032625" w:rsidRPr="00B73E97" w14:paraId="656F17C4" w14:textId="77777777" w:rsidTr="00C0485E">
        <w:trPr>
          <w:gridBefore w:val="1"/>
          <w:gridAfter w:val="1"/>
          <w:wBefore w:w="10" w:type="dxa"/>
          <w:wAfter w:w="8" w:type="dxa"/>
          <w:trHeight w:hRule="exact" w:val="646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AB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სკანდინავიური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გარემოსდაცვის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საფინანსო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კორპორაცია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(NEFCO)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9BF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AA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F0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F6F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54B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F64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17DA64B1" w14:textId="77777777" w:rsidTr="00C0485E">
        <w:trPr>
          <w:gridBefore w:val="1"/>
          <w:gridAfter w:val="1"/>
          <w:wBefore w:w="10" w:type="dxa"/>
          <w:wAfter w:w="8" w:type="dxa"/>
          <w:trHeight w:hRule="exact" w:val="368"/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1EFB99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4AF5AE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3E23C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1,397,636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8F08D4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4,290,184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F687E6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C7578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75521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032625" w:rsidRPr="00B73E97" w14:paraId="098BCCB5" w14:textId="77777777" w:rsidTr="00C0485E">
        <w:trPr>
          <w:gridBefore w:val="1"/>
          <w:gridAfter w:val="1"/>
          <w:wBefore w:w="10" w:type="dxa"/>
          <w:wAfter w:w="8" w:type="dxa"/>
          <w:trHeight w:hRule="exact" w:val="341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A03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FD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8A3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19,132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8A5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58,729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713F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4A54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168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38F75F0B" w14:textId="77777777" w:rsidTr="00C0485E">
        <w:trPr>
          <w:gridBefore w:val="1"/>
          <w:gridAfter w:val="1"/>
          <w:wBefore w:w="10" w:type="dxa"/>
          <w:wAfter w:w="8" w:type="dxa"/>
          <w:trHeight w:hRule="exact" w:val="25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F90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0B2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20E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5,685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0A5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17,449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E903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EFF5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A95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4A9257E2" w14:textId="77777777" w:rsidTr="00C0485E">
        <w:trPr>
          <w:gridBefore w:val="1"/>
          <w:gridAfter w:val="1"/>
          <w:wBefore w:w="10" w:type="dxa"/>
          <w:wAfter w:w="8" w:type="dxa"/>
          <w:trHeight w:hRule="exact" w:val="268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01F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1EF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CE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B75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648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6A0F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A9A3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2D4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61DF8EF2" w14:textId="77777777" w:rsidTr="00C0485E">
        <w:trPr>
          <w:gridBefore w:val="1"/>
          <w:gridAfter w:val="1"/>
          <w:wBefore w:w="10" w:type="dxa"/>
          <w:wAfter w:w="8" w:type="dxa"/>
          <w:trHeight w:hRule="exact" w:val="268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76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317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AA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10,959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AE4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33,639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B2A5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352A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63E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032625" w:rsidRPr="00B73E97" w14:paraId="1528D652" w14:textId="77777777" w:rsidTr="00C0485E">
        <w:trPr>
          <w:gridAfter w:val="1"/>
          <w:wAfter w:w="8" w:type="dxa"/>
          <w:trHeight w:hRule="exact" w:val="268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BC72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35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27B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4,306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DDE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13,217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64D1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76B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78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17E68388" w14:textId="77777777" w:rsidTr="00C0485E">
        <w:trPr>
          <w:gridBefore w:val="1"/>
          <w:gridAfter w:val="1"/>
          <w:wBefore w:w="10" w:type="dxa"/>
          <w:wAfter w:w="8" w:type="dxa"/>
          <w:trHeight w:hRule="exact" w:val="268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C95A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59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CB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43,134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EA0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132,405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5B69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A655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AEE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0.027%</w:t>
            </w:r>
          </w:p>
        </w:tc>
      </w:tr>
      <w:tr w:rsidR="00032625" w:rsidRPr="00B73E97" w14:paraId="61A2B3AD" w14:textId="77777777" w:rsidTr="00C0485E">
        <w:trPr>
          <w:gridBefore w:val="1"/>
          <w:gridAfter w:val="1"/>
          <w:wBefore w:w="10" w:type="dxa"/>
          <w:wAfter w:w="8" w:type="dxa"/>
          <w:trHeight w:hRule="exact" w:val="268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AC30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4E4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2E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5,954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73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18,276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529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1272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541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39902614" w14:textId="77777777" w:rsidTr="00C0485E">
        <w:trPr>
          <w:gridBefore w:val="1"/>
          <w:gridAfter w:val="1"/>
          <w:wBefore w:w="10" w:type="dxa"/>
          <w:wAfter w:w="8" w:type="dxa"/>
          <w:trHeight w:hRule="exact" w:val="268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D73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BA3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842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89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BE33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9D20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720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4803F956" w14:textId="77777777" w:rsidTr="00C0485E">
        <w:trPr>
          <w:gridBefore w:val="1"/>
          <w:gridAfter w:val="1"/>
          <w:wBefore w:w="10" w:type="dxa"/>
          <w:wAfter w:w="8" w:type="dxa"/>
          <w:trHeight w:hRule="exact" w:val="286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A06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B3F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FC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B51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212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EB8E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83A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27C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1165EE05" w14:textId="77777777" w:rsidTr="00C0485E">
        <w:trPr>
          <w:gridBefore w:val="1"/>
          <w:gridAfter w:val="1"/>
          <w:wBefore w:w="10" w:type="dxa"/>
          <w:wAfter w:w="8" w:type="dxa"/>
          <w:trHeight w:hRule="exact" w:val="259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2A4A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2EC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5BB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9,990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208E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30,664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D267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9904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CC1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3B7A5D88" w14:textId="77777777" w:rsidTr="00C0485E">
        <w:trPr>
          <w:gridBefore w:val="1"/>
          <w:gridAfter w:val="1"/>
          <w:wBefore w:w="10" w:type="dxa"/>
          <w:wAfter w:w="8" w:type="dxa"/>
          <w:trHeight w:hRule="exact" w:val="286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F0D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06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CNY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DEB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06B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2,674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2A9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E3CC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309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6695634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F3F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გერმანია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proofErr w:type="spellStart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>KfW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F29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A31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2,256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8CD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6,924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901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70A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0.06%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5C0E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096C9E9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DCDE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7C4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635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106,264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FF9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326,187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ED8F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5644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0.45%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B42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1BC6C226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C2A8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F8B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D66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128,697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12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395,049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2341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4381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94C0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032625" w:rsidRPr="00B73E97" w14:paraId="1CB4819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ED3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46C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41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127,306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1DC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390,778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1EB1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710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AD1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032625" w:rsidRPr="00B73E97" w14:paraId="4E89259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0160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AE5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F9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24,622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187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75,580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75BE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EC89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86B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1710859A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044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B2E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1E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685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D1D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E3A8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8E0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2910173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1D5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705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C27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31,940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CC31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98,044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5393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120D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B4F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032625" w:rsidRPr="00B73E97" w14:paraId="6C4B79DB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7F00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318C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C58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25,487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15E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78,234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FF6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907D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682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32625" w:rsidRPr="00B73E97" w14:paraId="306F43F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EB0A9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FEA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D3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13,354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099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40,991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4DB0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34122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73C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32625" w:rsidRPr="00B73E97" w14:paraId="70B9DA95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E89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DD9D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05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26,566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A4D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81,547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FF34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4812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610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032625" w:rsidRPr="00B73E97" w14:paraId="05283B1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679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AB1A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0F5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9,662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E3A0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29,658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490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56D6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BA2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032625" w:rsidRPr="00B73E97" w14:paraId="2CF33ED6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9BB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CF0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52B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27,436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B98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84,218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A877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AE46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8070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01926CE9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E6BAA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51D0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0E7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140,696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1B7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431,879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F864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EC2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4D7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032625" w:rsidRPr="00B73E97" w14:paraId="3321A33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8D87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56BC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A41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79DF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3,829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A22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0D6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B96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64EC62B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E9BE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F54C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B6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26,602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B17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81,656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128F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E1FD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8623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5DBDDEF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31F8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D683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EE9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18,383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37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56,427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ACF3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C62A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42D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032625" w:rsidRPr="00B73E97" w14:paraId="180BE0ED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622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697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8DA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936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1A7D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2,875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1EC2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E763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8C6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3F2CE83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9CA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72B4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36D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6,948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574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21,327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2567C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C01B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B501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1056A404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2A20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F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A38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0E2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378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47F6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989C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A4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2E36C434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DDA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E961D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A8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C75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1,141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4AEC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1798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389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660FA2F2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DB35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2B5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D1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E61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353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AFF4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061D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8803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24A4EFD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FF2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0BF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839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7,014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E9E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21,530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2500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437C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285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05F2ABE3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0191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F83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FB1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3,822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71C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11,732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EF53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2774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EE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32625" w:rsidRPr="00B73E97" w14:paraId="444C3BB7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D76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EC7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87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6,126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978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18,803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BCCA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77F8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56B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32625" w:rsidRPr="00B73E97" w14:paraId="16F5D16E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ACC7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2B3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4CB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14,033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1F1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43,075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76C9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D3EA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9AB8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3DCCD61E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020B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39EF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4A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224,334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053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688,617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2F40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9BE9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6F5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032625" w:rsidRPr="00B73E97" w14:paraId="28F8ECAA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F117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EEB6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BE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23,040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672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70,725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3E60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CEC6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6961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032625" w:rsidRPr="00B73E97" w14:paraId="05D14BC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BF658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7DD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5BE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16,119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5D2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49,478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E80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6FE6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9C18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32625" w:rsidRPr="00B73E97" w14:paraId="647C266C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4E9E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F4B1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65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28,324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600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86,944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57D8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E6CF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79C1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032625" w:rsidRPr="00B73E97" w14:paraId="0724E19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DAF80C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A8CA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1B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253,852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203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779,224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D8B49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41B6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355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032625" w:rsidRPr="00B73E97" w14:paraId="181189D8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E34AB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7586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C19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1,444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551D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4,434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D126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7BD3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42A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B73E97" w14:paraId="77BEA201" w14:textId="77777777" w:rsidTr="00C0485E">
        <w:trPr>
          <w:gridBefore w:val="1"/>
          <w:gridAfter w:val="1"/>
          <w:wBefore w:w="10" w:type="dxa"/>
          <w:wAfter w:w="8" w:type="dxa"/>
          <w:trHeight w:hRule="exact" w:val="202"/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3E1D046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38FFFF19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EA2AB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5747C2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1,534,800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CBB25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184B89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A9AF80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032625" w:rsidRPr="00B73E97" w14:paraId="021FB08E" w14:textId="77777777" w:rsidTr="00C0485E">
        <w:trPr>
          <w:gridBefore w:val="1"/>
          <w:gridAfter w:val="1"/>
          <w:wBefore w:w="10" w:type="dxa"/>
          <w:wAfter w:w="8" w:type="dxa"/>
          <w:trHeight w:hRule="exact" w:val="404"/>
          <w:jc w:val="center"/>
        </w:trPr>
        <w:tc>
          <w:tcPr>
            <w:tcW w:w="25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9FEC4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8"/>
                <w:szCs w:val="18"/>
              </w:rPr>
              <w:t>ევროობლიგაცია</w:t>
            </w:r>
            <w:proofErr w:type="spellEnd"/>
            <w:r w:rsidRPr="00032625">
              <w:rPr>
                <w:rFonts w:ascii="Calibri" w:eastAsia="Times New Roman" w:hAnsi="Calibri" w:cs="Calibri"/>
                <w:sz w:val="18"/>
                <w:szCs w:val="18"/>
              </w:rPr>
              <w:t xml:space="preserve"> 2021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8F8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FE3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6B76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1,534,800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1526E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40128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220A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0.529%</w:t>
            </w:r>
          </w:p>
        </w:tc>
      </w:tr>
      <w:tr w:rsidR="00032625" w:rsidRPr="00B73E97" w14:paraId="2BF4F5B0" w14:textId="77777777" w:rsidTr="00C0485E">
        <w:trPr>
          <w:gridBefore w:val="1"/>
          <w:gridAfter w:val="1"/>
          <w:wBefore w:w="10" w:type="dxa"/>
          <w:wAfter w:w="8" w:type="dxa"/>
          <w:trHeight w:hRule="exact" w:val="449"/>
          <w:jc w:val="center"/>
        </w:trPr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14C4DFAD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FC5AA2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1D240F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1,702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FD2C6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5,226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89CC31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F5C74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EB2B9C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032625" w:rsidRPr="00B73E97" w14:paraId="4435FA07" w14:textId="77777777" w:rsidTr="00C0485E">
        <w:trPr>
          <w:gridBefore w:val="1"/>
          <w:gridAfter w:val="1"/>
          <w:wBefore w:w="10" w:type="dxa"/>
          <w:wAfter w:w="8" w:type="dxa"/>
          <w:trHeight w:hRule="exact" w:val="359"/>
          <w:jc w:val="center"/>
        </w:trPr>
        <w:tc>
          <w:tcPr>
            <w:tcW w:w="2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233F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1E92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BC75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1,702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79E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5,226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7122B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0DCA7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DD521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032625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32625" w:rsidRPr="00032625" w14:paraId="731DCFBE" w14:textId="77777777" w:rsidTr="00C0485E">
        <w:trPr>
          <w:gridBefore w:val="1"/>
          <w:wBefore w:w="10" w:type="dxa"/>
          <w:trHeight w:hRule="exact" w:val="269"/>
          <w:jc w:val="center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5AA5E" w14:textId="77777777" w:rsidR="00032625" w:rsidRPr="00032625" w:rsidRDefault="00032625" w:rsidP="00B138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B25D17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0326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2625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E15244" w14:textId="77777777" w:rsidR="00032625" w:rsidRPr="00032625" w:rsidRDefault="00032625" w:rsidP="00032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03262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1.48%</w:t>
            </w:r>
          </w:p>
        </w:tc>
      </w:tr>
    </w:tbl>
    <w:p w14:paraId="59B7B272" w14:textId="77777777" w:rsidR="000A05E4" w:rsidRPr="00B73E97" w:rsidRDefault="000A05E4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77459428" w14:textId="77777777" w:rsidR="00A405DB" w:rsidRPr="00B73E97" w:rsidRDefault="000A05E4" w:rsidP="000A05E4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B73E97">
        <w:rPr>
          <w:sz w:val="22"/>
          <w:szCs w:val="22"/>
          <w:shd w:val="clear" w:color="auto" w:fill="FFFFFF"/>
          <w:lang w:val="ka-GE"/>
        </w:rPr>
        <w:t>202</w:t>
      </w:r>
      <w:r w:rsidR="009333B0" w:rsidRPr="00B73E97">
        <w:rPr>
          <w:sz w:val="22"/>
          <w:szCs w:val="22"/>
          <w:shd w:val="clear" w:color="auto" w:fill="FFFFFF"/>
        </w:rPr>
        <w:t>1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 </w:t>
      </w:r>
      <w:r w:rsidR="009333B0" w:rsidRPr="00B73E97">
        <w:rPr>
          <w:sz w:val="22"/>
          <w:szCs w:val="22"/>
          <w:shd w:val="clear" w:color="auto" w:fill="FFFFFF"/>
        </w:rPr>
        <w:t>374 160</w:t>
      </w:r>
      <w:r w:rsidRPr="00B73E97">
        <w:rPr>
          <w:sz w:val="22"/>
          <w:szCs w:val="22"/>
          <w:shd w:val="clear" w:color="auto" w:fill="FFFFFF"/>
          <w:lang w:val="ka-GE"/>
        </w:rPr>
        <w:t>.</w:t>
      </w:r>
      <w:r w:rsidR="009333B0" w:rsidRPr="00B73E97">
        <w:rPr>
          <w:sz w:val="22"/>
          <w:szCs w:val="22"/>
          <w:shd w:val="clear" w:color="auto" w:fill="FFFFFF"/>
        </w:rPr>
        <w:t>0</w:t>
      </w:r>
      <w:r w:rsidRPr="00B73E97">
        <w:rPr>
          <w:sz w:val="22"/>
          <w:szCs w:val="22"/>
          <w:shd w:val="clear" w:color="auto" w:fill="FFFFFF"/>
          <w:lang w:val="ka-GE"/>
        </w:rPr>
        <w:t xml:space="preserve"> ათასი ლარის ოდენობით. </w:t>
      </w:r>
    </w:p>
    <w:p w14:paraId="4351AD14" w14:textId="77777777" w:rsidR="00A405DB" w:rsidRPr="00B73E97" w:rsidRDefault="000A05E4" w:rsidP="00A405DB">
      <w:pPr>
        <w:pStyle w:val="Normal22"/>
        <w:ind w:firstLine="360"/>
        <w:jc w:val="both"/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</w:pPr>
      <w:r w:rsidRPr="00B73E97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B73E97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</w:rPr>
        <w:t xml:space="preserve"> </w:t>
      </w:r>
      <w:r w:rsidR="00A405DB" w:rsidRPr="00B73E97">
        <w:rPr>
          <w:rFonts w:ascii="Sylfaen" w:eastAsiaTheme="minorHAnsi" w:hAnsi="Sylfaen" w:cs="Sylfaen"/>
          <w:color w:val="000000"/>
          <w:sz w:val="22"/>
          <w:szCs w:val="22"/>
          <w:shd w:val="clear" w:color="auto" w:fill="FFFFFF"/>
          <w:lang w:val="ka-GE"/>
        </w:rPr>
        <w:t>თანხების მობილიზებას:</w:t>
      </w:r>
    </w:p>
    <w:p w14:paraId="2F69BD7F" w14:textId="3E7FE6E5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სახელმწიფო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ფასიანი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ქაღალდების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გამოშვებით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ვალდებულებების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ზრდა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− </w:t>
      </w:r>
      <w:r w:rsidRPr="00B73E97">
        <w:rPr>
          <w:rFonts w:ascii="Sylfaen" w:eastAsia="Sylfaen" w:hAnsi="Sylfaen" w:cs="Sylfaen"/>
          <w:color w:val="000000"/>
          <w:sz w:val="22"/>
          <w:szCs w:val="20"/>
          <w:lang w:val="ka-GE"/>
        </w:rPr>
        <w:t>1 000 000.0</w:t>
      </w:r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  <w:proofErr w:type="gramEnd"/>
    </w:p>
    <w:p w14:paraId="069773D4" w14:textId="4BC9BAC1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lastRenderedPageBreak/>
        <w:t>წყლის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სექტორის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ირიგაცია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აზიის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ბანკიდან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(ADB)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- 97 </w:t>
      </w:r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400.0 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proofErr w:type="gram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</w:p>
    <w:p w14:paraId="7B433273" w14:textId="150E569B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საქართველოში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ენერგეტიკის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სექტორის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რეფორმის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(IV</w:t>
      </w:r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) 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proofErr w:type="gram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საფრანგეთის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სააგენტოდან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(AFD)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– 95 500.0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თასი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; </w:t>
      </w:r>
    </w:p>
    <w:p w14:paraId="5BF36CF2" w14:textId="621D3FA3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საქართველოში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ენერგეტიკის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სექტორის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რეფორმის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პოლიტიკაზე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დაფუძნებული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სესხი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- PBL IV)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გერმანიის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რეკონსტრუქციის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საკრედიტო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ბანკიდან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KfW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– 114 600.0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  <w:proofErr w:type="gramEnd"/>
    </w:p>
    <w:p w14:paraId="24A773D5" w14:textId="171F4D6C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სექტორული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პროგრამა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,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თანამედროვე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უნარები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უკეთესი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სამუშაო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ადგილებისთვის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აზიის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ბანკიდან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(ADB)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- 130 </w:t>
      </w:r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000.0 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proofErr w:type="gram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</w:p>
    <w:p w14:paraId="471365C8" w14:textId="26E9EFB8" w:rsidR="009333B0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წყალმომრაგებისა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და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წყალარინების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სექტორის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მდგრადი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აზიის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განვითარების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ბანკიდან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(ADB)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- </w:t>
      </w:r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>76  000.00</w:t>
      </w:r>
      <w:proofErr w:type="gram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</w:p>
    <w:p w14:paraId="4E34745C" w14:textId="779E2442" w:rsidR="00A405DB" w:rsidRPr="00B73E97" w:rsidRDefault="009333B0" w:rsidP="00C0485E">
      <w:pPr>
        <w:pStyle w:val="Normal25"/>
        <w:numPr>
          <w:ilvl w:val="0"/>
          <w:numId w:val="13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0"/>
        </w:rPr>
      </w:pP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მაკროფინანსური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დახმარების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(MFA) IV </w:t>
      </w:r>
      <w:proofErr w:type="spellStart"/>
      <w:proofErr w:type="gram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პროგრამის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ფარგლებში</w:t>
      </w:r>
      <w:proofErr w:type="spellEnd"/>
      <w:proofErr w:type="gram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ევროკავშირიდან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(EU)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მისაღები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სახსრები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– 286 500.0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ათასი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ლარის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 xml:space="preserve"> </w:t>
      </w:r>
      <w:proofErr w:type="spellStart"/>
      <w:r w:rsidRPr="00B73E97">
        <w:rPr>
          <w:rFonts w:ascii="Sylfaen" w:eastAsia="Sylfaen" w:hAnsi="Sylfaen" w:cs="Sylfaen"/>
          <w:color w:val="000000"/>
          <w:sz w:val="22"/>
          <w:szCs w:val="20"/>
        </w:rPr>
        <w:t>ოდენობით</w:t>
      </w:r>
      <w:proofErr w:type="spellEnd"/>
      <w:r w:rsidRPr="00B73E97">
        <w:rPr>
          <w:rFonts w:ascii="Sylfaen" w:eastAsia="Sylfaen" w:hAnsi="Sylfaen" w:cs="Sylfaen"/>
          <w:color w:val="000000"/>
          <w:sz w:val="22"/>
          <w:szCs w:val="20"/>
        </w:rPr>
        <w:t>;</w:t>
      </w:r>
    </w:p>
    <w:p w14:paraId="4D60CAEF" w14:textId="77777777" w:rsidR="009333B0" w:rsidRPr="00B73E97" w:rsidRDefault="009333B0" w:rsidP="009333B0">
      <w:pPr>
        <w:pStyle w:val="Normal25"/>
        <w:spacing w:after="0"/>
        <w:ind w:left="720"/>
        <w:jc w:val="both"/>
        <w:rPr>
          <w:rFonts w:ascii="Sylfaen" w:eastAsia="Sylfaen" w:hAnsi="Sylfaen" w:cs="Sylfaen"/>
          <w:i/>
          <w:color w:val="000000"/>
          <w:sz w:val="22"/>
          <w:szCs w:val="20"/>
        </w:rPr>
      </w:pPr>
    </w:p>
    <w:p w14:paraId="155600AD" w14:textId="77777777" w:rsidR="00C0485E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1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2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923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2 600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Pr="00B73E97">
        <w:rPr>
          <w:rFonts w:ascii="Sylfaen" w:hAnsi="Sylfaen" w:cs="Sylfaen"/>
          <w:szCs w:val="21"/>
          <w:shd w:val="clear" w:color="auto" w:fill="FFFFFF"/>
        </w:rPr>
        <w:t>3</w:t>
      </w:r>
      <w:r w:rsidR="009333B0" w:rsidRPr="00B73E97">
        <w:rPr>
          <w:rFonts w:ascii="Sylfaen" w:hAnsi="Sylfaen" w:cs="Sylfaen"/>
          <w:szCs w:val="21"/>
          <w:shd w:val="clear" w:color="auto" w:fill="FFFFFF"/>
        </w:rPr>
        <w:t>23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B73E97">
        <w:rPr>
          <w:rFonts w:ascii="Sylfaen" w:hAnsi="Sylfaen" w:cs="Sylfaen"/>
          <w:szCs w:val="21"/>
          <w:shd w:val="clear" w:color="auto" w:fill="FFFFFF"/>
        </w:rPr>
        <w:t>0</w:t>
      </w:r>
      <w:r w:rsidRPr="00B73E97">
        <w:rPr>
          <w:rFonts w:ascii="Sylfaen" w:hAnsi="Sylfaen" w:cs="Sylfaen"/>
          <w:szCs w:val="21"/>
          <w:shd w:val="clear" w:color="auto" w:fill="FFFFFF"/>
        </w:rPr>
        <w:t>00</w:t>
      </w:r>
      <w:r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14:paraId="1F64BC20" w14:textId="77777777" w:rsidR="00A67E3A" w:rsidRPr="00C0485E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B73E97">
        <w:rPr>
          <w:rFonts w:ascii="Sylfaen" w:hAnsi="Sylfaen"/>
          <w:b/>
          <w:sz w:val="20"/>
          <w:szCs w:val="20"/>
          <w:lang w:val="ka-GE"/>
        </w:rPr>
        <w:t>202</w:t>
      </w:r>
      <w:r w:rsidR="006D20E2" w:rsidRPr="00B73E97">
        <w:rPr>
          <w:rFonts w:ascii="Sylfaen" w:hAnsi="Sylfaen"/>
          <w:b/>
          <w:sz w:val="20"/>
          <w:szCs w:val="20"/>
        </w:rPr>
        <w:t xml:space="preserve">1 </w:t>
      </w:r>
      <w:r w:rsidRPr="00B73E97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7691D1D7" w14:textId="77777777" w:rsidR="00FB01F8" w:rsidRPr="00B73E97" w:rsidRDefault="00FB01F8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2061"/>
        <w:gridCol w:w="1626"/>
        <w:gridCol w:w="1652"/>
        <w:gridCol w:w="1521"/>
      </w:tblGrid>
      <w:tr w:rsidR="006D20E2" w:rsidRPr="00B73E97" w14:paraId="4D1B99A7" w14:textId="77777777" w:rsidTr="00197818">
        <w:trPr>
          <w:trHeight w:hRule="exact" w:val="583"/>
          <w:tblHeader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32C2A7A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6066707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B73E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BC2E6"/>
            </w:tcBorders>
            <w:shd w:val="clear" w:color="auto" w:fill="auto"/>
            <w:vAlign w:val="center"/>
            <w:hideMark/>
          </w:tcPr>
          <w:p w14:paraId="54F4B55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C2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B73E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</w:tr>
      <w:tr w:rsidR="006D20E2" w:rsidRPr="00B73E97" w14:paraId="57B6910D" w14:textId="77777777" w:rsidTr="00C0485E">
        <w:trPr>
          <w:trHeight w:hRule="exact" w:val="274"/>
          <w:jc w:val="center"/>
        </w:trPr>
        <w:tc>
          <w:tcPr>
            <w:tcW w:w="2061" w:type="dxa"/>
            <w:tcBorders>
              <w:top w:val="single" w:sz="4" w:space="0" w:color="auto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6E28BB0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C15A79F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4,280.0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5CC399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570.0 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D329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4,850.0 </w:t>
            </w:r>
          </w:p>
        </w:tc>
      </w:tr>
      <w:tr w:rsidR="006D20E2" w:rsidRPr="00B73E97" w14:paraId="06B151E1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1E792AA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BF24FA8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2,740.0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9E6E05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1,700.0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0F5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4,440.0 </w:t>
            </w:r>
          </w:p>
        </w:tc>
      </w:tr>
      <w:tr w:rsidR="006D20E2" w:rsidRPr="00B73E97" w14:paraId="3E25A31F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B9ECCF9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62A5B0C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25,940.0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1F3DF7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5,450.0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6E5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31,390.0 </w:t>
            </w:r>
          </w:p>
        </w:tc>
      </w:tr>
      <w:tr w:rsidR="006D20E2" w:rsidRPr="00B73E97" w14:paraId="65F6805F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4EFB9D9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BB98EA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89,970.0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8A267D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24,920.0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5C43E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114,890.0 </w:t>
            </w:r>
          </w:p>
        </w:tc>
      </w:tr>
      <w:tr w:rsidR="006D20E2" w:rsidRPr="00B73E97" w14:paraId="5CD59F24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CA7B466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8C07883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7,450.0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ADBE9B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1,080.0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11CA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8,530.0 </w:t>
            </w:r>
          </w:p>
        </w:tc>
      </w:tr>
      <w:tr w:rsidR="006D20E2" w:rsidRPr="00B73E97" w14:paraId="3BE17943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A470BD0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29CD4F8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5,650.0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5A326F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480.0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37F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6,130.0 </w:t>
            </w:r>
          </w:p>
        </w:tc>
      </w:tr>
      <w:tr w:rsidR="006D20E2" w:rsidRPr="00B73E97" w14:paraId="319C3B2D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3F5CF36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81B3C9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4,110.0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7F00488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490.0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BE8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4,600.0 </w:t>
            </w:r>
          </w:p>
        </w:tc>
      </w:tr>
      <w:tr w:rsidR="006D20E2" w:rsidRPr="00B73E97" w14:paraId="07A723A6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1970A2F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A6E88F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3,340.0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D882D2F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350.0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67A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3,690.0 </w:t>
            </w:r>
          </w:p>
        </w:tc>
      </w:tr>
      <w:tr w:rsidR="006D20E2" w:rsidRPr="00B73E97" w14:paraId="2E894A22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20F50B3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097C21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13,310.0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8FE994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6,300.0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AB18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19,610.0 </w:t>
            </w:r>
          </w:p>
        </w:tc>
      </w:tr>
      <w:tr w:rsidR="006D20E2" w:rsidRPr="00B73E97" w14:paraId="1968B1E4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3EDB5C5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16321F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870.0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31B64B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50.0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763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920.0 </w:t>
            </w:r>
          </w:p>
        </w:tc>
      </w:tr>
      <w:tr w:rsidR="006D20E2" w:rsidRPr="00B73E97" w14:paraId="7C80BF95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07D465A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100D25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37,290.0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79175A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4,790.0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1D5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42,080.0 </w:t>
            </w:r>
          </w:p>
        </w:tc>
      </w:tr>
      <w:tr w:rsidR="006D20E2" w:rsidRPr="00B73E97" w14:paraId="458AD087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242AD71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304B1A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7,760.0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61F1E6A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1,030.0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EB9C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8,790.0 </w:t>
            </w:r>
          </w:p>
        </w:tc>
      </w:tr>
      <w:tr w:rsidR="006D20E2" w:rsidRPr="00B73E97" w14:paraId="3AB75F8F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96EA9D3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575FB3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A34291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12,600.0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9B16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12,600.0 </w:t>
            </w:r>
          </w:p>
        </w:tc>
      </w:tr>
      <w:tr w:rsidR="006D20E2" w:rsidRPr="00B73E97" w14:paraId="018C95C7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7D9D222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უკრაინა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A5F2C6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150.0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03670C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B56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154.0 </w:t>
            </w:r>
          </w:p>
        </w:tc>
      </w:tr>
      <w:tr w:rsidR="006D20E2" w:rsidRPr="00B73E97" w14:paraId="156A7E0E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95AA6D9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უზბეკეთი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5BF851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160.0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F6263F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4.0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0F1D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164.0 </w:t>
            </w:r>
          </w:p>
        </w:tc>
      </w:tr>
      <w:tr w:rsidR="006D20E2" w:rsidRPr="00B73E97" w14:paraId="50EA171E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172945C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3B26CE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70,380.0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F07DD5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9,790.0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1D48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80,170.0 </w:t>
            </w:r>
          </w:p>
        </w:tc>
      </w:tr>
      <w:tr w:rsidR="006D20E2" w:rsidRPr="00B73E97" w14:paraId="7EE09065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F85AA12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5DA5C0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1,420.0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508D96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FC2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1,420.0 </w:t>
            </w:r>
          </w:p>
        </w:tc>
      </w:tr>
      <w:tr w:rsidR="006D20E2" w:rsidRPr="00B73E97" w14:paraId="228896D7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810700D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9A751D9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309,440.0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2FBFBB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30,770.0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E442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340,210.0 </w:t>
            </w:r>
          </w:p>
        </w:tc>
      </w:tr>
      <w:tr w:rsidR="006D20E2" w:rsidRPr="00B73E97" w14:paraId="40B20938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D0F67EE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3130DA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41,490.0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CFF5A4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67,390.0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CF0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108,880.0 </w:t>
            </w:r>
          </w:p>
        </w:tc>
      </w:tr>
      <w:tr w:rsidR="006D20E2" w:rsidRPr="00B73E97" w14:paraId="6DB1EB1E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9187C4B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B64FFA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5,430.0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CB031D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1,400.0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4B0D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6,830.0 </w:t>
            </w:r>
          </w:p>
        </w:tc>
      </w:tr>
      <w:tr w:rsidR="006D20E2" w:rsidRPr="00B73E97" w14:paraId="4DDA6F4B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D95E01F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9C3F9C6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64,730.0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E520C1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12,610.0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2B5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77,340.0 </w:t>
            </w:r>
          </w:p>
        </w:tc>
      </w:tr>
      <w:tr w:rsidR="006D20E2" w:rsidRPr="00B73E97" w14:paraId="3DB193CE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FEC6849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B69A2C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35,860.0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5E9628C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11,320.0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6F92A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47,180.0 </w:t>
            </w:r>
          </w:p>
        </w:tc>
      </w:tr>
      <w:tr w:rsidR="006D20E2" w:rsidRPr="00B73E97" w14:paraId="3C620602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0800D9E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B9740B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292,270.0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499750E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64,810.0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811C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357,080.0 </w:t>
            </w:r>
          </w:p>
        </w:tc>
      </w:tr>
      <w:tr w:rsidR="006D20E2" w:rsidRPr="00B73E97" w14:paraId="4E01B450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78D57DD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4708AA9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C8432EA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6,820.0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F35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6,820.0 </w:t>
            </w:r>
          </w:p>
        </w:tc>
      </w:tr>
      <w:tr w:rsidR="006D20E2" w:rsidRPr="00B73E97" w14:paraId="1A18DC66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26F3B21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703C2133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DD294E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1,810.0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CAB9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1,810.0 </w:t>
            </w:r>
          </w:p>
        </w:tc>
      </w:tr>
      <w:tr w:rsidR="006D20E2" w:rsidRPr="00B73E97" w14:paraId="6927A4E5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6CBE994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7CCB945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3EC5220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70.0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6918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70.0 </w:t>
            </w:r>
          </w:p>
        </w:tc>
      </w:tr>
      <w:tr w:rsidR="006D20E2" w:rsidRPr="00B73E97" w14:paraId="739CCDBC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0EDC39A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C75BFB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- 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3C47AD7C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2,280.0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5321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2,280.0 </w:t>
            </w:r>
          </w:p>
        </w:tc>
      </w:tr>
      <w:tr w:rsidR="006D20E2" w:rsidRPr="00B73E97" w14:paraId="0DA564CA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18DA0B4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NEFCO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15AF987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490.0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A23653D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80.0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D403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570.0 </w:t>
            </w:r>
          </w:p>
        </w:tc>
      </w:tr>
      <w:tr w:rsidR="006D20E2" w:rsidRPr="00B73E97" w14:paraId="4875EB8C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1D1849DD" w14:textId="77777777" w:rsidR="006D20E2" w:rsidRPr="00B73E97" w:rsidRDefault="006D20E2" w:rsidP="006D2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ევრობონდები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7D66AC4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1,575,000.0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BDD7EE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07CAC5FC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54,140.0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BDD7EE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13CA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1,629,140.0 </w:t>
            </w:r>
          </w:p>
        </w:tc>
      </w:tr>
      <w:tr w:rsidR="006D20E2" w:rsidRPr="00B73E97" w14:paraId="1300F2FA" w14:textId="77777777" w:rsidTr="009333B0">
        <w:trPr>
          <w:trHeight w:hRule="exact" w:val="274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6EDA386B" w14:textId="77777777" w:rsidR="006D20E2" w:rsidRPr="00B73E97" w:rsidRDefault="006D20E2" w:rsidP="006D2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color w:val="000000"/>
              </w:rPr>
              <w:t>სულ</w:t>
            </w:r>
            <w:proofErr w:type="spellEnd"/>
            <w:r w:rsidRPr="00B73E9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44B3438D" w14:textId="77777777" w:rsidR="006D20E2" w:rsidRPr="00B73E97" w:rsidRDefault="006D20E2" w:rsidP="00933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2,600,000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BDD7EE"/>
            </w:tcBorders>
            <w:shd w:val="clear" w:color="auto" w:fill="auto"/>
            <w:noWrap/>
            <w:vAlign w:val="center"/>
            <w:hideMark/>
          </w:tcPr>
          <w:p w14:paraId="2C335A9B" w14:textId="77777777" w:rsidR="006D20E2" w:rsidRPr="00B73E97" w:rsidRDefault="006D20E2" w:rsidP="00933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323,00</w:t>
            </w:r>
            <w:r w:rsidR="00197818" w:rsidRPr="00B73E97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B2BE" w14:textId="77777777" w:rsidR="006D20E2" w:rsidRPr="00B73E97" w:rsidRDefault="006D20E2" w:rsidP="00933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B73E97">
              <w:rPr>
                <w:rFonts w:ascii="Calibri" w:eastAsia="Times New Roman" w:hAnsi="Calibri" w:cs="Calibri"/>
                <w:b/>
                <w:bCs/>
                <w:sz w:val="20"/>
                <w:szCs w:val="18"/>
              </w:rPr>
              <w:t>2,923,000</w:t>
            </w:r>
          </w:p>
        </w:tc>
      </w:tr>
    </w:tbl>
    <w:p w14:paraId="26760D08" w14:textId="77777777" w:rsidR="006F461C" w:rsidRPr="00B73E97" w:rsidRDefault="006F461C" w:rsidP="00FB01F8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14:paraId="19DEA5D4" w14:textId="77777777" w:rsidR="009E33C4" w:rsidRPr="00B73E97" w:rsidRDefault="00B57E95" w:rsidP="00B2218E">
      <w:pPr>
        <w:tabs>
          <w:tab w:val="left" w:pos="720"/>
        </w:tabs>
        <w:spacing w:after="120" w:line="240" w:lineRule="auto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B73E97"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1109D6A" w14:textId="77777777" w:rsidR="00396821" w:rsidRPr="00B73E97" w:rsidRDefault="0096735A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 w:rsidRPr="00B73E97">
        <w:rPr>
          <w:rFonts w:ascii="Sylfaen" w:hAnsi="Sylfaen" w:cs="Sylfaen"/>
          <w:szCs w:val="21"/>
          <w:shd w:val="clear" w:color="auto" w:fill="FFFFFF"/>
        </w:rPr>
        <w:lastRenderedPageBreak/>
        <w:tab/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B73E97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B73E97">
        <w:rPr>
          <w:rFonts w:ascii="Sylfaen" w:hAnsi="Sylfaen" w:cs="Sylfaen"/>
          <w:szCs w:val="21"/>
          <w:shd w:val="clear" w:color="auto" w:fill="FFFFFF"/>
        </w:rPr>
        <w:t>2020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B73E97">
        <w:rPr>
          <w:rFonts w:ascii="Sylfaen" w:hAnsi="Sylfaen" w:cs="Sylfaen"/>
          <w:szCs w:val="21"/>
          <w:shd w:val="clear" w:color="auto" w:fill="FFFFFF"/>
        </w:rPr>
        <w:t>.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- 8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A67E3A" w:rsidRPr="00B73E97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B73E97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5573D9F3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B73E97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შედეგად მთავრობის საშინაო ვალის ნაშთმა 2020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5,573.1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5,605.7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3150E3" w:rsidRPr="00B73E97">
        <w:rPr>
          <w:rFonts w:ascii="Sylfaen" w:hAnsi="Sylfaen"/>
          <w:szCs w:val="21"/>
          <w:shd w:val="clear" w:color="auto" w:fill="FFFFFF"/>
          <w:lang w:val="ka-GE"/>
        </w:rPr>
        <w:t>9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B4541C" w:rsidRPr="00B73E97"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5,192.9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3150E3" w:rsidRPr="00B73E97">
        <w:rPr>
          <w:rFonts w:ascii="Sylfaen" w:hAnsi="Sylfaen" w:cs="Sylfaen"/>
          <w:shd w:val="clear" w:color="auto" w:fill="FFFFFF"/>
          <w:lang w:val="ka-GE"/>
        </w:rPr>
        <w:t>370</w:t>
      </w:r>
      <w:r w:rsidRPr="00B73E97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3150E3" w:rsidRPr="00B73E97">
        <w:rPr>
          <w:rFonts w:ascii="Sylfaen" w:hAnsi="Sylfaen"/>
          <w:szCs w:val="21"/>
          <w:shd w:val="clear" w:color="auto" w:fill="FFFFFF"/>
          <w:lang w:val="ka-GE"/>
        </w:rPr>
        <w:t>9</w:t>
      </w:r>
      <w:r w:rsidR="00B4541C" w:rsidRPr="00B73E97">
        <w:rPr>
          <w:rFonts w:ascii="Sylfaen" w:hAnsi="Sylfaen"/>
          <w:szCs w:val="21"/>
          <w:shd w:val="clear" w:color="auto" w:fill="FFFFFF"/>
          <w:lang w:val="ka-GE"/>
        </w:rPr>
        <w:t>.4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14:paraId="587D3570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5677F4AF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52F2C619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46A695D5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14:paraId="7FCEE3AB" w14:textId="77777777" w:rsidR="00396821" w:rsidRPr="00B73E97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2020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150E3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3150E3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აგვისტოს</w:t>
      </w:r>
      <w:r w:rsidR="00396821" w:rsidRPr="00B73E9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14:paraId="3F01086A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25AC9690" w14:textId="77777777" w:rsidR="00396821" w:rsidRPr="00B73E97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6918D3CC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B73E97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B73E97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2528"/>
      </w:tblGrid>
      <w:tr w:rsidR="00B4541C" w:rsidRPr="00B73E97" w14:paraId="246B7E77" w14:textId="77777777" w:rsidTr="002B6702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78822FDE" w14:textId="77777777" w:rsidR="00B4541C" w:rsidRPr="00B73E97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14:paraId="35735408" w14:textId="77777777" w:rsidR="00B4541C" w:rsidRPr="00B73E97" w:rsidRDefault="003150E3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B73E97">
              <w:rPr>
                <w:rFonts w:ascii="Sylfaen" w:hAnsi="Sylfaen"/>
                <w:b/>
                <w:sz w:val="20"/>
                <w:lang w:val="ka-GE"/>
              </w:rPr>
              <w:t>5 615 026,7</w:t>
            </w:r>
          </w:p>
        </w:tc>
      </w:tr>
      <w:tr w:rsidR="00B4541C" w:rsidRPr="00B73E97" w14:paraId="320CD5DB" w14:textId="77777777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4ADF609D" w14:textId="77777777" w:rsidR="00B4541C" w:rsidRPr="00B73E97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14:paraId="768A4884" w14:textId="77777777" w:rsidR="00B4541C" w:rsidRPr="00B73E97" w:rsidRDefault="003150E3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B73E97">
              <w:rPr>
                <w:rFonts w:ascii="Sylfaen" w:hAnsi="Sylfaen"/>
                <w:b/>
                <w:sz w:val="20"/>
                <w:lang w:val="ka-GE"/>
              </w:rPr>
              <w:t>5 234 818,0</w:t>
            </w:r>
          </w:p>
        </w:tc>
      </w:tr>
      <w:tr w:rsidR="00B4541C" w:rsidRPr="00B73E97" w14:paraId="37633536" w14:textId="77777777" w:rsidTr="002B6702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31750D99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6</w:t>
            </w:r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თვის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ვადიანობის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სახაზინო</w:t>
            </w:r>
            <w:proofErr w:type="spellEnd"/>
            <w:r w:rsidRPr="00B73E97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sz w:val="20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14:paraId="729774A8" w14:textId="77777777" w:rsidR="00B4541C" w:rsidRPr="00B73E97" w:rsidRDefault="003150E3" w:rsidP="00A67E3A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>180</w:t>
            </w:r>
            <w:r w:rsidR="00B4541C" w:rsidRPr="00B73E97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A67E3A" w:rsidRPr="00B73E97">
              <w:rPr>
                <w:rFonts w:ascii="Sylfaen" w:hAnsi="Sylfaen"/>
                <w:sz w:val="20"/>
                <w:lang w:val="ka-GE"/>
              </w:rPr>
              <w:t>000</w:t>
            </w:r>
            <w:r w:rsidR="00B4541C" w:rsidRPr="00B73E97">
              <w:rPr>
                <w:rFonts w:ascii="Sylfaen" w:hAnsi="Sylfaen"/>
                <w:sz w:val="20"/>
                <w:lang w:val="ka-GE"/>
              </w:rPr>
              <w:t>,</w:t>
            </w:r>
            <w:r w:rsidR="00A67E3A" w:rsidRPr="00B73E97">
              <w:rPr>
                <w:rFonts w:ascii="Sylfaen" w:hAnsi="Sylfaen"/>
                <w:sz w:val="20"/>
                <w:lang w:val="ka-GE"/>
              </w:rPr>
              <w:t>0</w:t>
            </w:r>
          </w:p>
        </w:tc>
      </w:tr>
      <w:tr w:rsidR="00B4541C" w:rsidRPr="00B73E97" w14:paraId="63D1EFD4" w14:textId="77777777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73FD2CE9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თვის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hideMark/>
          </w:tcPr>
          <w:p w14:paraId="52B0CDBF" w14:textId="77777777" w:rsidR="00B4541C" w:rsidRPr="00B73E97" w:rsidRDefault="003150E3" w:rsidP="00A67E3A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>680</w:t>
            </w:r>
            <w:r w:rsidR="00B4541C" w:rsidRPr="00B73E97">
              <w:rPr>
                <w:rFonts w:ascii="Sylfaen" w:hAnsi="Sylfaen"/>
                <w:sz w:val="20"/>
                <w:lang w:val="ka-GE"/>
              </w:rPr>
              <w:t xml:space="preserve"> 000,0</w:t>
            </w:r>
          </w:p>
        </w:tc>
      </w:tr>
      <w:tr w:rsidR="00B4541C" w:rsidRPr="00B73E97" w14:paraId="42C8403F" w14:textId="77777777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7EA70E2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2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hideMark/>
          </w:tcPr>
          <w:p w14:paraId="47F951E9" w14:textId="77777777" w:rsidR="00B4541C" w:rsidRPr="00B73E97" w:rsidRDefault="00B4541C" w:rsidP="003150E3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 xml:space="preserve">1 </w:t>
            </w:r>
            <w:r w:rsidR="003150E3" w:rsidRPr="00B73E97">
              <w:rPr>
                <w:rFonts w:ascii="Sylfaen" w:hAnsi="Sylfaen"/>
                <w:sz w:val="20"/>
                <w:lang w:val="ka-GE"/>
              </w:rPr>
              <w:t>250</w:t>
            </w:r>
            <w:r w:rsidR="00A67E3A" w:rsidRPr="00B73E97">
              <w:rPr>
                <w:rFonts w:ascii="Sylfaen" w:hAnsi="Sylfaen"/>
                <w:sz w:val="20"/>
                <w:lang w:val="ka-GE"/>
              </w:rPr>
              <w:t xml:space="preserve"> </w:t>
            </w:r>
            <w:r w:rsidRPr="00B73E97">
              <w:rPr>
                <w:rFonts w:ascii="Sylfaen" w:hAnsi="Sylfaen"/>
                <w:sz w:val="20"/>
                <w:lang w:val="ka-GE"/>
              </w:rPr>
              <w:t>000,0</w:t>
            </w:r>
          </w:p>
        </w:tc>
      </w:tr>
      <w:tr w:rsidR="00B4541C" w:rsidRPr="00B73E97" w14:paraId="2DACCAF8" w14:textId="77777777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17557A3F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5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14:paraId="453F6FB2" w14:textId="77777777" w:rsidR="00B4541C" w:rsidRPr="00B73E97" w:rsidRDefault="00B4541C" w:rsidP="003150E3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 xml:space="preserve">1 </w:t>
            </w:r>
            <w:r w:rsidR="003150E3" w:rsidRPr="00B73E97">
              <w:rPr>
                <w:rFonts w:ascii="Sylfaen" w:hAnsi="Sylfaen"/>
                <w:sz w:val="20"/>
                <w:lang w:val="ka-GE"/>
              </w:rPr>
              <w:t>928</w:t>
            </w:r>
            <w:r w:rsidRPr="00B73E97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3150E3" w:rsidRPr="00B73E97">
              <w:rPr>
                <w:rFonts w:ascii="Sylfaen" w:hAnsi="Sylfaen"/>
                <w:sz w:val="20"/>
                <w:lang w:val="ka-GE"/>
              </w:rPr>
              <w:t>0</w:t>
            </w:r>
            <w:r w:rsidRPr="00B73E97">
              <w:rPr>
                <w:rFonts w:ascii="Sylfaen" w:hAnsi="Sylfaen"/>
                <w:sz w:val="20"/>
                <w:lang w:val="ka-GE"/>
              </w:rPr>
              <w:t>00,0</w:t>
            </w:r>
          </w:p>
        </w:tc>
      </w:tr>
      <w:tr w:rsidR="00B4541C" w:rsidRPr="00B73E97" w14:paraId="15F87BC9" w14:textId="77777777" w:rsidTr="002B6702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58F354A0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10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წლის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ვადიანობის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სახაზინო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hideMark/>
          </w:tcPr>
          <w:p w14:paraId="0A025160" w14:textId="77777777" w:rsidR="00B4541C" w:rsidRPr="00B73E97" w:rsidRDefault="003150E3" w:rsidP="00B404A9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>1 196 818,</w:t>
            </w:r>
            <w:r w:rsidR="00B4541C" w:rsidRPr="00B73E97">
              <w:rPr>
                <w:rFonts w:ascii="Sylfaen" w:hAnsi="Sylfaen"/>
                <w:sz w:val="20"/>
                <w:lang w:val="ka-GE"/>
              </w:rPr>
              <w:t>0</w:t>
            </w:r>
          </w:p>
        </w:tc>
      </w:tr>
      <w:tr w:rsidR="00B4541C" w:rsidRPr="00B73E97" w14:paraId="18B877E2" w14:textId="77777777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78B1926D" w14:textId="77777777" w:rsidR="00B4541C" w:rsidRPr="00B73E97" w:rsidRDefault="00B4541C" w:rsidP="00B4541C">
            <w:pPr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სხვა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ფასიანი</w:t>
            </w:r>
            <w:proofErr w:type="spellEnd"/>
            <w:r w:rsidRPr="00B73E97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14:paraId="4F4B5995" w14:textId="77777777" w:rsidR="00B4541C" w:rsidRPr="00B73E97" w:rsidRDefault="003150E3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B73E97">
              <w:rPr>
                <w:rFonts w:ascii="Sylfaen" w:hAnsi="Sylfaen"/>
                <w:b/>
                <w:sz w:val="20"/>
                <w:lang w:val="ka-GE"/>
              </w:rPr>
              <w:t>370</w:t>
            </w:r>
            <w:r w:rsidR="00B4541C" w:rsidRPr="00B73E97">
              <w:rPr>
                <w:rFonts w:ascii="Sylfaen" w:hAnsi="Sylfaen"/>
                <w:b/>
                <w:sz w:val="20"/>
                <w:lang w:val="ka-GE"/>
              </w:rPr>
              <w:t xml:space="preserve"> 846,0</w:t>
            </w:r>
          </w:p>
        </w:tc>
      </w:tr>
      <w:tr w:rsidR="00B4541C" w:rsidRPr="00B73E97" w14:paraId="22632C83" w14:textId="77777777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77DBC8E7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სებ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>-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hideMark/>
          </w:tcPr>
          <w:p w14:paraId="45B741C6" w14:textId="77777777" w:rsidR="00B4541C" w:rsidRPr="00B73E97" w:rsidRDefault="00B4541C" w:rsidP="00B4541C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>200 846,0</w:t>
            </w:r>
          </w:p>
        </w:tc>
      </w:tr>
      <w:tr w:rsidR="00B4541C" w:rsidRPr="00B73E97" w14:paraId="06668BD0" w14:textId="77777777" w:rsidTr="002B6702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51AF606D" w14:textId="77777777" w:rsidR="00B4541C" w:rsidRPr="00B73E97" w:rsidRDefault="00B4541C" w:rsidP="00B4541C">
            <w:pPr>
              <w:ind w:left="341"/>
              <w:rPr>
                <w:rFonts w:ascii="Arial" w:eastAsia="Times New Roman" w:hAnsi="Arial" w:cs="Arial"/>
                <w:sz w:val="20"/>
                <w:szCs w:val="18"/>
                <w:lang w:val="ka-GE"/>
              </w:rPr>
            </w:pP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ობლიგაციები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ღია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ბაზრის</w:t>
            </w:r>
            <w:r w:rsidRPr="00B73E97">
              <w:rPr>
                <w:rFonts w:ascii="Arial" w:eastAsia="Times New Roman" w:hAnsi="Arial" w:cs="Arial"/>
                <w:sz w:val="20"/>
                <w:szCs w:val="18"/>
                <w:lang w:val="ka-GE"/>
              </w:rPr>
              <w:t xml:space="preserve"> </w:t>
            </w:r>
            <w:r w:rsidRPr="00B73E97">
              <w:rPr>
                <w:rFonts w:ascii="Sylfaen" w:eastAsia="Times New Roman" w:hAnsi="Sylfaen" w:cs="Sylfaen"/>
                <w:sz w:val="20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hideMark/>
          </w:tcPr>
          <w:p w14:paraId="50131056" w14:textId="77777777" w:rsidR="00B4541C" w:rsidRPr="00B73E97" w:rsidRDefault="003150E3" w:rsidP="00B4541C">
            <w:pPr>
              <w:jc w:val="right"/>
              <w:rPr>
                <w:rFonts w:ascii="Sylfaen" w:hAnsi="Sylfaen"/>
                <w:sz w:val="20"/>
                <w:lang w:val="ka-GE"/>
              </w:rPr>
            </w:pPr>
            <w:r w:rsidRPr="00B73E97">
              <w:rPr>
                <w:rFonts w:ascii="Sylfaen" w:hAnsi="Sylfaen"/>
                <w:sz w:val="20"/>
                <w:lang w:val="ka-GE"/>
              </w:rPr>
              <w:t>170</w:t>
            </w:r>
            <w:r w:rsidR="00B4541C" w:rsidRPr="00B73E97">
              <w:rPr>
                <w:rFonts w:ascii="Sylfaen" w:hAnsi="Sylfaen"/>
                <w:sz w:val="20"/>
                <w:lang w:val="ka-GE"/>
              </w:rPr>
              <w:t xml:space="preserve"> 000,0</w:t>
            </w:r>
          </w:p>
        </w:tc>
      </w:tr>
      <w:tr w:rsidR="00B4541C" w:rsidRPr="00B73E97" w14:paraId="20A41191" w14:textId="77777777" w:rsidTr="002B6702">
        <w:trPr>
          <w:trHeight w:val="288"/>
          <w:jc w:val="center"/>
        </w:trPr>
        <w:tc>
          <w:tcPr>
            <w:tcW w:w="3734" w:type="pct"/>
            <w:vAlign w:val="center"/>
          </w:tcPr>
          <w:p w14:paraId="270E5280" w14:textId="77777777" w:rsidR="00B4541C" w:rsidRPr="00B73E97" w:rsidRDefault="00B4541C" w:rsidP="00B4541C">
            <w:pPr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</w:pP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საბიუჯეტო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ორგანიზაციების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სესხის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სახით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არსებულ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ი ვალის</w:t>
            </w:r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</w:rPr>
              <w:t>ნაშ</w:t>
            </w:r>
            <w:proofErr w:type="spellEnd"/>
            <w:r w:rsidRPr="00B73E97">
              <w:rPr>
                <w:rFonts w:ascii="Sylfaen" w:eastAsia="Times New Roman" w:hAnsi="Sylfaen" w:cs="Sylfaen"/>
                <w:b/>
                <w:bCs/>
                <w:sz w:val="20"/>
                <w:szCs w:val="18"/>
                <w:lang w:val="ka-GE"/>
              </w:rPr>
              <w:t>თი</w:t>
            </w:r>
          </w:p>
        </w:tc>
        <w:tc>
          <w:tcPr>
            <w:tcW w:w="1266" w:type="pct"/>
          </w:tcPr>
          <w:p w14:paraId="6B7FCB38" w14:textId="77777777" w:rsidR="00B4541C" w:rsidRPr="00B73E97" w:rsidRDefault="003150E3" w:rsidP="00B4541C">
            <w:pPr>
              <w:jc w:val="right"/>
              <w:rPr>
                <w:rFonts w:ascii="Sylfaen" w:hAnsi="Sylfaen"/>
                <w:b/>
                <w:sz w:val="20"/>
                <w:lang w:val="ka-GE"/>
              </w:rPr>
            </w:pPr>
            <w:r w:rsidRPr="00B73E97">
              <w:rPr>
                <w:rFonts w:ascii="Sylfaen" w:hAnsi="Sylfaen"/>
                <w:b/>
                <w:sz w:val="20"/>
                <w:lang w:val="ka-GE"/>
              </w:rPr>
              <w:t>9 362</w:t>
            </w:r>
            <w:r w:rsidR="00B4541C" w:rsidRPr="00B73E97">
              <w:rPr>
                <w:rFonts w:ascii="Sylfaen" w:hAnsi="Sylfaen"/>
                <w:b/>
                <w:sz w:val="20"/>
                <w:lang w:val="ka-GE"/>
              </w:rPr>
              <w:t>,7</w:t>
            </w:r>
          </w:p>
        </w:tc>
      </w:tr>
    </w:tbl>
    <w:p w14:paraId="5142A2A5" w14:textId="77777777" w:rsidR="00396821" w:rsidRPr="00B73E97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14:paraId="04666BE9" w14:textId="77777777"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6846868F" w14:textId="77777777" w:rsidR="00B404A9" w:rsidRPr="00B73E97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B73E97">
        <w:rPr>
          <w:rFonts w:ascii="Sylfaen" w:hAnsi="Sylfaen"/>
          <w:lang w:val="ka-GE"/>
        </w:rPr>
        <w:t>202</w:t>
      </w:r>
      <w:r w:rsidR="003B0642" w:rsidRPr="00B73E97">
        <w:rPr>
          <w:rFonts w:ascii="Sylfaen" w:hAnsi="Sylfaen"/>
        </w:rPr>
        <w:t>1</w:t>
      </w:r>
      <w:r w:rsidRPr="00B73E97">
        <w:rPr>
          <w:lang w:val="ka-GE"/>
        </w:rPr>
        <w:t xml:space="preserve"> </w:t>
      </w:r>
      <w:proofErr w:type="spellStart"/>
      <w:r w:rsidRPr="00B73E97">
        <w:rPr>
          <w:rFonts w:ascii="Sylfaen" w:hAnsi="Sylfaen" w:cs="Sylfaen"/>
        </w:rPr>
        <w:t>წლის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სახელმწიფო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ბიუჯეტის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პროექტი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ითვალისწინებს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საშინაო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ვალდებულებების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მოსალოდნელ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კლებას</w:t>
      </w:r>
      <w:proofErr w:type="spellEnd"/>
      <w:r w:rsidRPr="00B73E97">
        <w:t xml:space="preserve"> </w:t>
      </w:r>
      <w:r w:rsidRPr="00B73E97">
        <w:rPr>
          <w:rFonts w:ascii="Sylfaen" w:hAnsi="Sylfaen"/>
          <w:lang w:val="ka-GE"/>
        </w:rPr>
        <w:t>1 7</w:t>
      </w:r>
      <w:r w:rsidR="005B3272" w:rsidRPr="00B73E97">
        <w:rPr>
          <w:rFonts w:ascii="Sylfaen" w:hAnsi="Sylfaen"/>
          <w:lang w:val="ka-GE"/>
        </w:rPr>
        <w:t>0</w:t>
      </w:r>
      <w:r w:rsidRPr="00B73E97">
        <w:rPr>
          <w:rFonts w:ascii="Sylfaen" w:hAnsi="Sylfaen"/>
          <w:lang w:val="ka-GE"/>
        </w:rPr>
        <w:t>0 000</w:t>
      </w:r>
      <w:r w:rsidRPr="00B73E97">
        <w:rPr>
          <w:rFonts w:ascii="Sylfaen" w:hAnsi="Sylfaen"/>
        </w:rPr>
        <w:t>.0</w:t>
      </w:r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ათასი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ლარის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ოდენობით</w:t>
      </w:r>
      <w:proofErr w:type="spellEnd"/>
      <w:r w:rsidRPr="00B73E97">
        <w:t xml:space="preserve">, </w:t>
      </w:r>
      <w:proofErr w:type="spellStart"/>
      <w:r w:rsidRPr="00B73E97">
        <w:rPr>
          <w:rFonts w:ascii="Sylfaen" w:hAnsi="Sylfaen" w:cs="Sylfaen"/>
        </w:rPr>
        <w:t>მათ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შორის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სახაზინო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ვალდებულებების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სახაზინო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ობლიგაციების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ძირითადი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თანხის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დაფარვას</w:t>
      </w:r>
      <w:proofErr w:type="spellEnd"/>
      <w:r w:rsidRPr="00B73E97">
        <w:t xml:space="preserve"> - </w:t>
      </w:r>
      <w:r w:rsidRPr="00B73E97">
        <w:rPr>
          <w:rFonts w:ascii="Sylfaen" w:hAnsi="Sylfaen"/>
          <w:lang w:val="ka-GE"/>
        </w:rPr>
        <w:t xml:space="preserve">1 </w:t>
      </w:r>
      <w:r w:rsidRPr="00B73E97">
        <w:rPr>
          <w:rFonts w:ascii="Sylfaen" w:hAnsi="Sylfaen"/>
        </w:rPr>
        <w:t>6</w:t>
      </w:r>
      <w:r w:rsidR="005B3272" w:rsidRPr="00B73E97">
        <w:rPr>
          <w:rFonts w:ascii="Sylfaen" w:hAnsi="Sylfaen"/>
          <w:lang w:val="ka-GE"/>
        </w:rPr>
        <w:t>6</w:t>
      </w:r>
      <w:r w:rsidRPr="00B73E97">
        <w:rPr>
          <w:rFonts w:ascii="Sylfaen" w:hAnsi="Sylfaen"/>
          <w:lang w:val="ka-GE"/>
        </w:rPr>
        <w:t>0 000</w:t>
      </w:r>
      <w:r w:rsidRPr="00B73E97">
        <w:rPr>
          <w:rFonts w:ascii="Sylfaen" w:hAnsi="Sylfaen"/>
        </w:rPr>
        <w:t>.0</w:t>
      </w:r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ათასი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ლარის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ოდენობით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სახელმწიფო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ობლიგაციების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ძირითადი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თანხის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დაფარვას</w:t>
      </w:r>
      <w:proofErr w:type="spellEnd"/>
      <w:r w:rsidRPr="00B73E97">
        <w:t xml:space="preserve"> (</w:t>
      </w:r>
      <w:proofErr w:type="spellStart"/>
      <w:r w:rsidRPr="00B73E97">
        <w:rPr>
          <w:rFonts w:ascii="Sylfaen" w:hAnsi="Sylfaen" w:cs="Sylfaen"/>
        </w:rPr>
        <w:t>სებ</w:t>
      </w:r>
      <w:r w:rsidRPr="00B73E97">
        <w:t>-</w:t>
      </w:r>
      <w:r w:rsidRPr="00B73E97">
        <w:rPr>
          <w:rFonts w:ascii="Sylfaen" w:hAnsi="Sylfaen" w:cs="Sylfaen"/>
        </w:rPr>
        <w:t>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მიმართ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ვალი</w:t>
      </w:r>
      <w:proofErr w:type="spellEnd"/>
      <w:r w:rsidRPr="00B73E97">
        <w:t xml:space="preserve">) – </w:t>
      </w:r>
      <w:r w:rsidRPr="00B73E97">
        <w:rPr>
          <w:rFonts w:ascii="Sylfaen" w:hAnsi="Sylfaen"/>
          <w:lang w:val="ka-GE"/>
        </w:rPr>
        <w:t>40 000</w:t>
      </w:r>
      <w:r w:rsidRPr="00B73E97">
        <w:rPr>
          <w:rFonts w:ascii="Sylfaen" w:hAnsi="Sylfaen"/>
        </w:rPr>
        <w:t>.0</w:t>
      </w:r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ათასი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ლარის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ოდენობით</w:t>
      </w:r>
      <w:proofErr w:type="spellEnd"/>
      <w:r w:rsidRPr="00B73E97">
        <w:t xml:space="preserve">, </w:t>
      </w:r>
      <w:proofErr w:type="spellStart"/>
      <w:r w:rsidRPr="00B73E97">
        <w:rPr>
          <w:rFonts w:ascii="Sylfaen" w:hAnsi="Sylfaen" w:cs="Sylfaen"/>
        </w:rPr>
        <w:t>საქართველოს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მთავრობის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საქართველოს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ეროვნული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ბანკის</w:t>
      </w:r>
      <w:proofErr w:type="spellEnd"/>
      <w:r w:rsidRPr="00B73E97">
        <w:t xml:space="preserve"> 2006 </w:t>
      </w:r>
      <w:proofErr w:type="spellStart"/>
      <w:r w:rsidRPr="00B73E97">
        <w:rPr>
          <w:rFonts w:ascii="Sylfaen" w:hAnsi="Sylfaen" w:cs="Sylfaen"/>
        </w:rPr>
        <w:t>წლის</w:t>
      </w:r>
      <w:proofErr w:type="spellEnd"/>
      <w:r w:rsidRPr="00B73E97">
        <w:t xml:space="preserve"> 15 </w:t>
      </w:r>
      <w:proofErr w:type="spellStart"/>
      <w:r w:rsidRPr="00B73E97">
        <w:rPr>
          <w:rFonts w:ascii="Sylfaen" w:hAnsi="Sylfaen" w:cs="Sylfaen"/>
        </w:rPr>
        <w:t>მაისის</w:t>
      </w:r>
      <w:proofErr w:type="spellEnd"/>
      <w:r w:rsidRPr="00B73E97">
        <w:t xml:space="preserve"> „</w:t>
      </w:r>
      <w:proofErr w:type="spellStart"/>
      <w:r w:rsidRPr="00B73E97">
        <w:rPr>
          <w:rFonts w:ascii="Sylfaen" w:hAnsi="Sylfaen" w:cs="Sylfaen"/>
        </w:rPr>
        <w:t>საქართველოს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მთავრობის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საქართველოს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ეროვნული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ბანკისადმი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დავალიანების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დაფარვის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ღონისძიებების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შესახებ</w:t>
      </w:r>
      <w:proofErr w:type="spellEnd"/>
      <w:r w:rsidRPr="00B73E97">
        <w:t xml:space="preserve">“ 2006 </w:t>
      </w:r>
      <w:proofErr w:type="spellStart"/>
      <w:r w:rsidRPr="00B73E97">
        <w:rPr>
          <w:rFonts w:ascii="Sylfaen" w:hAnsi="Sylfaen" w:cs="Sylfaen"/>
        </w:rPr>
        <w:t>წლის</w:t>
      </w:r>
      <w:proofErr w:type="spellEnd"/>
      <w:r w:rsidRPr="00B73E97">
        <w:t xml:space="preserve"> 20 </w:t>
      </w:r>
      <w:proofErr w:type="spellStart"/>
      <w:r w:rsidRPr="00B73E97">
        <w:rPr>
          <w:rFonts w:ascii="Sylfaen" w:hAnsi="Sylfaen" w:cs="Sylfaen"/>
        </w:rPr>
        <w:t>მარტის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შეთანხმებაში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ცვლილებების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შეტანის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თაობაზე</w:t>
      </w:r>
      <w:proofErr w:type="spellEnd"/>
      <w:r w:rsidRPr="00B73E97">
        <w:t xml:space="preserve">“ </w:t>
      </w:r>
      <w:proofErr w:type="spellStart"/>
      <w:r w:rsidRPr="00B73E97">
        <w:rPr>
          <w:rFonts w:ascii="Sylfaen" w:hAnsi="Sylfaen" w:cs="Sylfaen"/>
        </w:rPr>
        <w:t>შეთანხმების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შესაბამისად</w:t>
      </w:r>
      <w:proofErr w:type="spellEnd"/>
      <w:r w:rsidRPr="00B73E97">
        <w:t xml:space="preserve">. </w:t>
      </w:r>
    </w:p>
    <w:p w14:paraId="74A50FA3" w14:textId="77777777" w:rsidR="00DB15D9" w:rsidRPr="00B73E97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B73E97">
        <w:rPr>
          <w:rFonts w:ascii="Sylfaen" w:hAnsi="Sylfaen" w:cs="Sylfaen"/>
        </w:rPr>
        <w:t>202</w:t>
      </w:r>
      <w:r w:rsidR="005B3272" w:rsidRPr="00B73E97">
        <w:rPr>
          <w:rFonts w:ascii="Sylfaen" w:hAnsi="Sylfaen" w:cs="Sylfaen"/>
          <w:lang w:val="ka-GE"/>
        </w:rPr>
        <w:t>1</w:t>
      </w:r>
      <w:r w:rsidRPr="00B73E97">
        <w:rPr>
          <w:rFonts w:ascii="Sylfaen" w:hAnsi="Sylfaen" w:cs="Sylfaen"/>
        </w:rPr>
        <w:t xml:space="preserve"> </w:t>
      </w:r>
      <w:proofErr w:type="spellStart"/>
      <w:r w:rsidRPr="00B73E97">
        <w:rPr>
          <w:rFonts w:ascii="Sylfaen" w:hAnsi="Sylfaen" w:cs="Sylfaen"/>
        </w:rPr>
        <w:t>წლის</w:t>
      </w:r>
      <w:proofErr w:type="spellEnd"/>
      <w:r w:rsidRPr="00B73E97">
        <w:rPr>
          <w:rFonts w:ascii="Sylfaen" w:hAnsi="Sylfaen" w:cs="Sylfaen"/>
        </w:rPr>
        <w:t xml:space="preserve"> </w:t>
      </w:r>
      <w:proofErr w:type="spellStart"/>
      <w:r w:rsidRPr="00B73E97">
        <w:rPr>
          <w:rFonts w:ascii="Sylfaen" w:hAnsi="Sylfaen" w:cs="Sylfaen"/>
        </w:rPr>
        <w:t>განმავლობაში</w:t>
      </w:r>
      <w:proofErr w:type="spellEnd"/>
      <w:r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სახაზინო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ვალდებულებებისა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და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სახაზინო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ობლიგაციების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გამოშვებით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საშინაო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ვალდებულებების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ზრდის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საპროგნოზო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მაჩვენებელი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განისაზღვროს</w:t>
      </w:r>
      <w:proofErr w:type="spellEnd"/>
      <w:r w:rsidR="00DB15D9" w:rsidRPr="00B73E97">
        <w:rPr>
          <w:rFonts w:ascii="Sylfaen" w:hAnsi="Sylfaen" w:cs="Sylfaen"/>
        </w:rPr>
        <w:t xml:space="preserve"> 1 </w:t>
      </w:r>
      <w:r w:rsidR="005B3272" w:rsidRPr="00B73E97">
        <w:rPr>
          <w:rFonts w:ascii="Sylfaen" w:hAnsi="Sylfaen" w:cs="Sylfaen"/>
          <w:lang w:val="ka-GE"/>
        </w:rPr>
        <w:t>000</w:t>
      </w:r>
      <w:r w:rsidR="00DB15D9" w:rsidRPr="00B73E97">
        <w:rPr>
          <w:rFonts w:ascii="Sylfaen" w:hAnsi="Sylfaen" w:cs="Sylfaen"/>
        </w:rPr>
        <w:t xml:space="preserve"> 000.0 </w:t>
      </w:r>
      <w:proofErr w:type="spellStart"/>
      <w:r w:rsidR="00DB15D9" w:rsidRPr="00B73E97">
        <w:rPr>
          <w:rFonts w:ascii="Sylfaen" w:hAnsi="Sylfaen" w:cs="Sylfaen"/>
        </w:rPr>
        <w:t>ათასი</w:t>
      </w:r>
      <w:proofErr w:type="spellEnd"/>
      <w:r w:rsidR="00DB15D9" w:rsidRPr="00B73E97">
        <w:rPr>
          <w:rFonts w:ascii="Sylfaen" w:hAnsi="Sylfaen" w:cs="Sylfaen"/>
        </w:rPr>
        <w:t xml:space="preserve"> </w:t>
      </w:r>
      <w:proofErr w:type="spellStart"/>
      <w:r w:rsidR="00DB15D9" w:rsidRPr="00B73E97">
        <w:rPr>
          <w:rFonts w:ascii="Sylfaen" w:hAnsi="Sylfaen" w:cs="Sylfaen"/>
        </w:rPr>
        <w:t>ლარით</w:t>
      </w:r>
      <w:proofErr w:type="spellEnd"/>
      <w:r w:rsidR="00DB15D9" w:rsidRPr="00B73E97">
        <w:rPr>
          <w:rFonts w:ascii="Sylfaen" w:hAnsi="Sylfaen" w:cs="Sylfaen"/>
        </w:rPr>
        <w:t xml:space="preserve">. </w:t>
      </w:r>
    </w:p>
    <w:p w14:paraId="7B55CB6F" w14:textId="77777777" w:rsidR="00B404A9" w:rsidRPr="00B73E97" w:rsidRDefault="00B404A9" w:rsidP="005B3272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73E97">
        <w:rPr>
          <w:rFonts w:ascii="Sylfaen" w:hAnsi="Sylfaen" w:cs="Sylfaen"/>
          <w:lang w:val="ka-GE"/>
        </w:rPr>
        <w:t>202</w:t>
      </w:r>
      <w:r w:rsidR="005B3272" w:rsidRPr="00B73E97">
        <w:rPr>
          <w:rFonts w:ascii="Sylfaen" w:hAnsi="Sylfaen" w:cs="Sylfaen"/>
          <w:lang w:val="ka-GE"/>
        </w:rPr>
        <w:t>1</w:t>
      </w:r>
      <w:r w:rsidRPr="00B73E97">
        <w:rPr>
          <w:rFonts w:ascii="Sylfaen" w:hAnsi="Sylfaen" w:cs="Sylfaen"/>
          <w:lang w:val="ka-GE"/>
        </w:rPr>
        <w:t xml:space="preserve"> წლის </w:t>
      </w:r>
      <w:r w:rsidR="005B3272" w:rsidRPr="00B73E97">
        <w:rPr>
          <w:rFonts w:ascii="Sylfaen" w:hAnsi="Sylfaen" w:cs="Sylfaen"/>
          <w:lang w:val="ka-GE"/>
        </w:rPr>
        <w:t>განმავლობაში</w:t>
      </w:r>
      <w:r w:rsidRPr="00B73E97">
        <w:rPr>
          <w:rFonts w:ascii="Sylfaen" w:hAnsi="Sylfaen" w:cs="Sylfaen"/>
          <w:lang w:val="ka-GE"/>
        </w:rPr>
        <w:t xml:space="preserve"> </w:t>
      </w:r>
      <w:r w:rsidR="005B3272" w:rsidRPr="00B73E97">
        <w:rPr>
          <w:rFonts w:ascii="Sylfaen" w:hAnsi="Sylfaen" w:cs="Sylfaen"/>
          <w:lang w:val="ka-GE"/>
        </w:rPr>
        <w:t xml:space="preserve">ისევ </w:t>
      </w:r>
      <w:r w:rsidRPr="00B73E97">
        <w:rPr>
          <w:rFonts w:ascii="Sylfaen" w:hAnsi="Sylfaen" w:cs="Sylfaen"/>
          <w:lang w:val="ka-GE"/>
        </w:rPr>
        <w:t>იგეგმება გამოსყიდვის ოპერაციების გაგრძელება, რაც თავის მხრივ</w:t>
      </w:r>
      <w:r w:rsidR="00FE1A0F" w:rsidRPr="00B73E97">
        <w:rPr>
          <w:rFonts w:ascii="Sylfaen" w:hAnsi="Sylfaen" w:cs="Sylfaen"/>
          <w:lang w:val="ka-GE"/>
        </w:rPr>
        <w:t>,</w:t>
      </w:r>
      <w:r w:rsidRPr="00B73E97">
        <w:rPr>
          <w:rFonts w:ascii="Sylfaen" w:hAnsi="Sylfaen" w:cs="Sylfaen"/>
          <w:lang w:val="ka-GE"/>
        </w:rPr>
        <w:t xml:space="preserve"> </w:t>
      </w:r>
      <w:proofErr w:type="spellStart"/>
      <w:r w:rsidRPr="00B73E97">
        <w:rPr>
          <w:rFonts w:ascii="Sylfaen" w:hAnsi="Sylfaen" w:cs="Sylfaen"/>
        </w:rPr>
        <w:t>გავლენას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მოახდენს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საშინაო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ვალდებულებების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ძირითადი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თანხის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დაფარვასა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მომსახურების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ხარჯზე</w:t>
      </w:r>
      <w:proofErr w:type="spellEnd"/>
      <w:r w:rsidRPr="00B73E97">
        <w:t xml:space="preserve">. </w:t>
      </w:r>
    </w:p>
    <w:p w14:paraId="256A5ED5" w14:textId="77777777" w:rsidR="00B404A9" w:rsidRPr="00B73E97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B73E97">
        <w:rPr>
          <w:rFonts w:ascii="Sylfaen" w:hAnsi="Sylfaen"/>
          <w:lang w:val="ka-GE"/>
        </w:rPr>
        <w:t>202</w:t>
      </w:r>
      <w:r w:rsidR="003B0642" w:rsidRPr="00B73E97">
        <w:rPr>
          <w:rFonts w:ascii="Sylfaen" w:hAnsi="Sylfaen"/>
        </w:rPr>
        <w:t>1</w:t>
      </w:r>
      <w:r w:rsidRPr="00B73E97">
        <w:rPr>
          <w:lang w:val="ka-GE"/>
        </w:rPr>
        <w:t xml:space="preserve"> </w:t>
      </w:r>
      <w:proofErr w:type="spellStart"/>
      <w:r w:rsidRPr="00B73E97">
        <w:rPr>
          <w:rFonts w:ascii="Sylfaen" w:hAnsi="Sylfaen" w:cs="Sylfaen"/>
        </w:rPr>
        <w:t>წლის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სახელმწიფო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ბიუჯეტის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კანონის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პროექტით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განსაზღვრული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საგარეო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და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საშინაო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პარამეტრები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უზრუნველყოფენ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სახელმწიფო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ვალის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მდგრადობის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შენარჩუნებას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საშუალოვადიან</w:t>
      </w:r>
      <w:proofErr w:type="spellEnd"/>
      <w:r w:rsidRPr="00B73E97">
        <w:t xml:space="preserve"> </w:t>
      </w:r>
      <w:proofErr w:type="spellStart"/>
      <w:r w:rsidRPr="00B73E97">
        <w:rPr>
          <w:rFonts w:ascii="Sylfaen" w:hAnsi="Sylfaen" w:cs="Sylfaen"/>
        </w:rPr>
        <w:t>პერიოდში</w:t>
      </w:r>
      <w:proofErr w:type="spellEnd"/>
      <w:r w:rsidRPr="00B73E97">
        <w:rPr>
          <w:rFonts w:ascii="Sylfaen" w:hAnsi="Sylfaen" w:cs="Sylfaen"/>
          <w:lang w:val="ka-GE"/>
        </w:rPr>
        <w:t>.</w:t>
      </w:r>
    </w:p>
    <w:p w14:paraId="7CC4CE71" w14:textId="77777777"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2530C6AE" w14:textId="77777777" w:rsidR="00F26066" w:rsidRPr="00B73E97" w:rsidRDefault="00F26066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val="ka-GE"/>
        </w:rPr>
      </w:pPr>
      <w:r w:rsidRPr="00B73E97">
        <w:rPr>
          <w:rFonts w:ascii="Sylfaen" w:hAnsi="Sylfaen" w:cs="Sylfaen"/>
          <w:lang w:val="ka-GE"/>
        </w:rPr>
        <w:tab/>
      </w:r>
    </w:p>
    <w:p w14:paraId="5B42BDFA" w14:textId="77777777" w:rsidR="00B2218E" w:rsidRPr="00B73E97" w:rsidRDefault="00B2218E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2A7F0593" w14:textId="77777777" w:rsidR="00FE1A0F" w:rsidRDefault="00FE1A0F" w:rsidP="00FE1A0F">
      <w:pPr>
        <w:tabs>
          <w:tab w:val="left" w:pos="720"/>
        </w:tabs>
        <w:spacing w:before="240"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 ვალის საპროგნოზო ზღვრული მოცულობა 202</w:t>
      </w:r>
      <w:r w:rsidR="003B0642" w:rsidRPr="00B73E97">
        <w:rPr>
          <w:rFonts w:ascii="Sylfaen" w:hAnsi="Sylfaen"/>
          <w:b/>
        </w:rPr>
        <w:t>1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14:paraId="6605A580" w14:textId="77777777" w:rsidR="00B44456" w:rsidRPr="00B73E97" w:rsidRDefault="00B44456" w:rsidP="00B44456">
      <w:pPr>
        <w:tabs>
          <w:tab w:val="left" w:pos="720"/>
        </w:tabs>
        <w:spacing w:before="240" w:after="0" w:line="240" w:lineRule="auto"/>
        <w:jc w:val="right"/>
        <w:rPr>
          <w:rFonts w:ascii="Sylfaen" w:hAnsi="Sylfaen"/>
          <w:i/>
          <w:noProof/>
          <w:color w:val="000000"/>
          <w:lang w:val="ka-GE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10680" w:type="dxa"/>
        <w:tblInd w:w="-5" w:type="dxa"/>
        <w:tblLook w:val="04A0" w:firstRow="1" w:lastRow="0" w:firstColumn="1" w:lastColumn="0" w:noHBand="0" w:noVBand="1"/>
      </w:tblPr>
      <w:tblGrid>
        <w:gridCol w:w="540"/>
        <w:gridCol w:w="8600"/>
        <w:gridCol w:w="1540"/>
      </w:tblGrid>
      <w:tr w:rsidR="00B44456" w:rsidRPr="00B44456" w14:paraId="67F6E457" w14:textId="77777777" w:rsidTr="00B44456">
        <w:trPr>
          <w:trHeight w:val="765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AB1C2F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კრედიტორი  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64F425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 საპროგნოზო  ნაშთი  (31.12.2021) </w:t>
            </w:r>
          </w:p>
        </w:tc>
      </w:tr>
      <w:tr w:rsidR="00B44456" w:rsidRPr="00B44456" w14:paraId="4813327A" w14:textId="77777777" w:rsidTr="00B44456">
        <w:trPr>
          <w:trHeight w:val="510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14:paraId="05A2D798" w14:textId="77777777" w:rsidR="00B44456" w:rsidRPr="00B44456" w:rsidRDefault="00B44456" w:rsidP="00B444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ზღვრული</w:t>
            </w:r>
            <w:proofErr w:type="spellEnd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53358A9B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23,534,276</w:t>
            </w:r>
          </w:p>
        </w:tc>
      </w:tr>
      <w:tr w:rsidR="00B44456" w:rsidRPr="00B44456" w14:paraId="0891A069" w14:textId="77777777" w:rsidTr="00B44456">
        <w:trPr>
          <w:trHeight w:val="300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238447D1" w14:textId="77777777" w:rsidR="00B44456" w:rsidRPr="00B44456" w:rsidRDefault="00B44456" w:rsidP="00B444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მრავალმხრივი კრედიტორები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24C3DA12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18,295,363</w:t>
            </w:r>
          </w:p>
        </w:tc>
      </w:tr>
      <w:tr w:rsidR="00B44456" w:rsidRPr="00B44456" w14:paraId="7C393F4A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C394A4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2A2FC5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აზიის განვითარების ბანკი (ADB)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6A64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6,409,213</w:t>
            </w:r>
          </w:p>
        </w:tc>
      </w:tr>
      <w:tr w:rsidR="00B44456" w:rsidRPr="00B44456" w14:paraId="04741C15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3DE63B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B63216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C48DC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590,571</w:t>
            </w:r>
          </w:p>
        </w:tc>
      </w:tr>
      <w:tr w:rsidR="00B44456" w:rsidRPr="00B44456" w14:paraId="2D6E4B1A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66045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C1EFC6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185B2A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686,585</w:t>
            </w:r>
          </w:p>
        </w:tc>
      </w:tr>
      <w:tr w:rsidR="00B44456" w:rsidRPr="00B44456" w14:paraId="68C52C76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43ED0C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9E5EF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ევროპის საინვესტიციო ბანკი (EIB)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26F656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2,516,648</w:t>
            </w:r>
          </w:p>
        </w:tc>
      </w:tr>
      <w:tr w:rsidR="00B44456" w:rsidRPr="00B44456" w14:paraId="5E0AEB52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47A84B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047FF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ევროკავშირი (EU)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6DA21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796,474</w:t>
            </w:r>
          </w:p>
        </w:tc>
      </w:tr>
      <w:tr w:rsidR="00B44456" w:rsidRPr="00B44456" w14:paraId="72BE08A2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F27FA1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173155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მსოფლიო ბანკი (WB)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C6EA8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6,352,805</w:t>
            </w:r>
          </w:p>
        </w:tc>
      </w:tr>
      <w:tr w:rsidR="00B44456" w:rsidRPr="00B44456" w14:paraId="307AD874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5E1460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0ABDF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0E73BC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126,132</w:t>
            </w:r>
          </w:p>
        </w:tc>
      </w:tr>
      <w:tr w:rsidR="00B44456" w:rsidRPr="00B44456" w14:paraId="03DDE5FF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CE95DB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7E9D8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საერთაშორისო სავალუტო ფონდი (IMF)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B2E3E6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680,769</w:t>
            </w:r>
          </w:p>
        </w:tc>
      </w:tr>
      <w:tr w:rsidR="00B44456" w:rsidRPr="00B44456" w14:paraId="7551DAE8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CD0947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E9D7FD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ევროსაბჭოს განვითარების ბანკი (CEB)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0FCDAB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129,687</w:t>
            </w:r>
          </w:p>
        </w:tc>
      </w:tr>
      <w:tr w:rsidR="00B44456" w:rsidRPr="00B44456" w14:paraId="6954FFFA" w14:textId="77777777" w:rsidTr="00B44456">
        <w:trPr>
          <w:trHeight w:val="37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47E28D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CB2732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სკანდინავიური გარემოს დაცვის საფინანსო კორპორაცია (NEFCO)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CAB7930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6,480</w:t>
            </w:r>
          </w:p>
        </w:tc>
      </w:tr>
      <w:tr w:rsidR="00B44456" w:rsidRPr="00B44456" w14:paraId="4E617440" w14:textId="77777777" w:rsidTr="00B44456">
        <w:trPr>
          <w:trHeight w:val="300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7CECF5FB" w14:textId="77777777" w:rsidR="00B44456" w:rsidRPr="00B44456" w:rsidRDefault="00B44456" w:rsidP="00B444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ორმხრივი კრედიტორები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29A5880F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5,234,067</w:t>
            </w:r>
          </w:p>
        </w:tc>
      </w:tr>
      <w:tr w:rsidR="00B44456" w:rsidRPr="00B44456" w14:paraId="15E13FE9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B59C10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0B900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სომხეთი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360EC3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12,149</w:t>
            </w:r>
          </w:p>
        </w:tc>
      </w:tr>
      <w:tr w:rsidR="00B44456" w:rsidRPr="00B44456" w14:paraId="580C3303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5D84C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C2D9A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აზერბაიჯანი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E15EE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13,772</w:t>
            </w:r>
          </w:p>
        </w:tc>
      </w:tr>
      <w:tr w:rsidR="00B44456" w:rsidRPr="00B44456" w14:paraId="2A5AB217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0DD4F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06153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ავსტრია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927336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55,441</w:t>
            </w:r>
          </w:p>
        </w:tc>
      </w:tr>
      <w:tr w:rsidR="00B44456" w:rsidRPr="00B44456" w14:paraId="425476DA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6EDD2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79908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ჩინეთი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69CA6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1,446</w:t>
            </w:r>
          </w:p>
        </w:tc>
      </w:tr>
      <w:tr w:rsidR="00B44456" w:rsidRPr="00B44456" w14:paraId="5828D198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06E6D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790E49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საფრანგეთი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25D352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1,876,416</w:t>
            </w:r>
          </w:p>
        </w:tc>
      </w:tr>
      <w:tr w:rsidR="00B44456" w:rsidRPr="00B44456" w14:paraId="2836C075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FDA822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27FA1E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გერმანია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B31B9A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2,354,018</w:t>
            </w:r>
          </w:p>
        </w:tc>
      </w:tr>
      <w:tr w:rsidR="00B44456" w:rsidRPr="00B44456" w14:paraId="156286E1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82165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07055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ირანი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24D77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10,046</w:t>
            </w:r>
          </w:p>
        </w:tc>
      </w:tr>
      <w:tr w:rsidR="00B44456" w:rsidRPr="00B44456" w14:paraId="0A6FD2AC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DD2580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48F71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იაპონია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2FCA46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672,843</w:t>
            </w:r>
          </w:p>
        </w:tc>
      </w:tr>
      <w:tr w:rsidR="00B44456" w:rsidRPr="00B44456" w14:paraId="29D0E545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F1D20B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13EDBA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ყაზახეთი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93CA9D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14,981</w:t>
            </w:r>
          </w:p>
        </w:tc>
      </w:tr>
      <w:tr w:rsidR="00B44456" w:rsidRPr="00B44456" w14:paraId="77264E58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F841D6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028A4E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ქუვეითი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80AAD4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57,717</w:t>
            </w:r>
          </w:p>
        </w:tc>
      </w:tr>
      <w:tr w:rsidR="00B44456" w:rsidRPr="00B44456" w14:paraId="71981C3D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98832D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ED1CE7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ნიდერლანდი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7AB5AB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330</w:t>
            </w:r>
          </w:p>
        </w:tc>
      </w:tr>
      <w:tr w:rsidR="00B44456" w:rsidRPr="00B44456" w14:paraId="697F5E1D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80360F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6DEDA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რუსეთი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C01F58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94,139</w:t>
            </w:r>
          </w:p>
        </w:tc>
      </w:tr>
      <w:tr w:rsidR="00B44456" w:rsidRPr="00B44456" w14:paraId="5DABA2EE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4A74FF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773B26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თურქეთი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24D27B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26,818</w:t>
            </w:r>
          </w:p>
        </w:tc>
      </w:tr>
      <w:tr w:rsidR="00B44456" w:rsidRPr="00B44456" w14:paraId="694F04ED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967F7F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5E85A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თურქმენეთი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CFADE4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694</w:t>
            </w:r>
          </w:p>
        </w:tc>
      </w:tr>
      <w:tr w:rsidR="00B44456" w:rsidRPr="00B44456" w14:paraId="7C4C39DB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7CF71B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075B7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 xml:space="preserve">ამერიკის შეერთებული შტატები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50BC14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43,257</w:t>
            </w:r>
          </w:p>
        </w:tc>
      </w:tr>
      <w:tr w:rsidR="00B44456" w:rsidRPr="00B44456" w14:paraId="2B7DB52B" w14:textId="77777777" w:rsidTr="00B44456">
        <w:trPr>
          <w:trHeight w:val="300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BF1DE"/>
            <w:vAlign w:val="center"/>
            <w:hideMark/>
          </w:tcPr>
          <w:p w14:paraId="13548AA9" w14:textId="77777777" w:rsidR="00B44456" w:rsidRPr="00B44456" w:rsidRDefault="00B44456" w:rsidP="00B44456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სახელმწიფო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გარანტიით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აღებული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კრედიტები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center"/>
            <w:hideMark/>
          </w:tcPr>
          <w:p w14:paraId="2D5831DD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4,846</w:t>
            </w:r>
          </w:p>
        </w:tc>
      </w:tr>
      <w:tr w:rsidR="00B44456" w:rsidRPr="00B44456" w14:paraId="6C7EEC39" w14:textId="77777777" w:rsidTr="00B44456">
        <w:trPr>
          <w:trHeight w:val="300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BE9D9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66D84A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გერმანია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845A0A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4,846</w:t>
            </w:r>
          </w:p>
        </w:tc>
      </w:tr>
      <w:tr w:rsidR="00B44456" w:rsidRPr="00B44456" w14:paraId="770E3847" w14:textId="77777777" w:rsidTr="00B44456">
        <w:trPr>
          <w:trHeight w:val="300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CE6F1"/>
            <w:vAlign w:val="center"/>
            <w:hideMark/>
          </w:tcPr>
          <w:p w14:paraId="5C39488E" w14:textId="77777777" w:rsidR="00B44456" w:rsidRPr="00B44456" w:rsidRDefault="00B44456" w:rsidP="00B44456">
            <w:pPr>
              <w:spacing w:after="0" w:line="240" w:lineRule="auto"/>
              <w:ind w:firstLineChars="200" w:firstLine="361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საშინაო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ვალის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ზღვრული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მოცულობა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CA1678C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6,933,346</w:t>
            </w:r>
          </w:p>
        </w:tc>
      </w:tr>
      <w:tr w:rsidR="00B44456" w:rsidRPr="00B44456" w14:paraId="048D5512" w14:textId="77777777" w:rsidTr="00B44456">
        <w:trPr>
          <w:trHeight w:val="428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91F480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5DC451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საქართველოს ეროვნული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ბანკისთვის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განკუთვნილი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ერთწლიანი,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ყოველწლიურად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განახლებადი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სახელმწიფო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ობლიგაციები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412DF7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160,846</w:t>
            </w:r>
          </w:p>
        </w:tc>
      </w:tr>
      <w:tr w:rsidR="00B44456" w:rsidRPr="00B44456" w14:paraId="7D890112" w14:textId="77777777" w:rsidTr="00B44456">
        <w:trPr>
          <w:trHeight w:val="293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053C13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DE8903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სხვადასხვა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ვადის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სახელმწიფო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ობლიგაციები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ღია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ბაზრის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ოპერაციებისთვის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3ADEFA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152,000</w:t>
            </w:r>
          </w:p>
        </w:tc>
      </w:tr>
      <w:tr w:rsidR="00B44456" w:rsidRPr="00B44456" w14:paraId="419F07DA" w14:textId="77777777" w:rsidTr="00B44456">
        <w:trPr>
          <w:trHeight w:val="34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FB1118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B7B71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საქართველოს ფინანსთა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სამინისტროს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სახაზინო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ვალდებულებები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B80F5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598,000</w:t>
            </w:r>
          </w:p>
        </w:tc>
      </w:tr>
      <w:tr w:rsidR="00B44456" w:rsidRPr="00B44456" w14:paraId="5E9302C3" w14:textId="77777777" w:rsidTr="00B44456">
        <w:trPr>
          <w:trHeight w:val="345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FD0FAA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E9B96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საქართველოს ფინანსთა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სამინისტროს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სახაზინო</w:t>
            </w: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  <w:lang w:val="ru-RU"/>
              </w:rPr>
              <w:t>ობლიგაციები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B3B77C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/>
              </w:rPr>
              <w:t>6,016,000</w:t>
            </w:r>
          </w:p>
        </w:tc>
      </w:tr>
      <w:tr w:rsidR="00B44456" w:rsidRPr="00B44456" w14:paraId="00D6E489" w14:textId="77777777" w:rsidTr="00654D8E">
        <w:trPr>
          <w:trHeight w:val="257"/>
        </w:trPr>
        <w:tc>
          <w:tcPr>
            <w:tcW w:w="54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D033" w14:textId="77777777" w:rsidR="00B44456" w:rsidRPr="00B44456" w:rsidRDefault="00B44456" w:rsidP="00B44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891ACF" w14:textId="77777777" w:rsidR="00B44456" w:rsidRPr="00B44456" w:rsidRDefault="00B44456" w:rsidP="00B44456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სესხის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ვალი</w:t>
            </w:r>
            <w:proofErr w:type="spellEnd"/>
            <w:r w:rsidRPr="00B44456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D6285B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6,500</w:t>
            </w:r>
          </w:p>
        </w:tc>
      </w:tr>
      <w:tr w:rsidR="00B44456" w:rsidRPr="00B44456" w14:paraId="36373637" w14:textId="77777777" w:rsidTr="00654D8E">
        <w:trPr>
          <w:trHeight w:val="347"/>
        </w:trPr>
        <w:tc>
          <w:tcPr>
            <w:tcW w:w="91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DE9D9"/>
            <w:vAlign w:val="center"/>
            <w:hideMark/>
          </w:tcPr>
          <w:p w14:paraId="4F0A0099" w14:textId="77777777" w:rsidR="00B44456" w:rsidRPr="00B44456" w:rsidRDefault="00B44456" w:rsidP="00B444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სულ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ru-RU"/>
              </w:rPr>
              <w:t>მთავრობის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ვალის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ზღვრული</w:t>
            </w: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B44456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მოცულობა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DE9D9"/>
            <w:vAlign w:val="center"/>
            <w:hideMark/>
          </w:tcPr>
          <w:p w14:paraId="4DC5BED8" w14:textId="77777777" w:rsidR="00B44456" w:rsidRPr="00B44456" w:rsidRDefault="00B44456" w:rsidP="00B4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444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30,467,622</w:t>
            </w:r>
          </w:p>
        </w:tc>
      </w:tr>
    </w:tbl>
    <w:p w14:paraId="7F27BC56" w14:textId="77777777" w:rsidR="00FB7087" w:rsidRPr="00B73E97" w:rsidRDefault="00AD59D0" w:rsidP="003B0642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32711FB6" w14:textId="77777777" w:rsidR="0053506B" w:rsidRPr="00B73E97" w:rsidRDefault="0053506B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p w14:paraId="38DA5552" w14:textId="77777777" w:rsidR="00B44456" w:rsidRPr="00000B59" w:rsidRDefault="00FE1A0F" w:rsidP="00B44456">
      <w:pPr>
        <w:spacing w:after="0"/>
        <w:ind w:firstLine="720"/>
        <w:jc w:val="both"/>
        <w:rPr>
          <w:sz w:val="18"/>
          <w:szCs w:val="18"/>
          <w:lang w:val="ka-GE"/>
        </w:rPr>
      </w:pPr>
      <w:r w:rsidRPr="00B73E97">
        <w:rPr>
          <w:rFonts w:ascii="Sylfaen" w:hAnsi="Sylfaen"/>
          <w:b/>
          <w:i/>
          <w:color w:val="595959" w:themeColor="text1" w:themeTint="A6"/>
          <w:sz w:val="18"/>
          <w:szCs w:val="18"/>
          <w:lang w:val="ka-GE"/>
        </w:rPr>
        <w:t>შენიშვნა:</w:t>
      </w:r>
      <w:r w:rsidRPr="00B73E97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3B0642" w:rsidRPr="00B73E97">
        <w:rPr>
          <w:rFonts w:ascii="Sylfaen" w:hAnsi="Sylfaen"/>
          <w:sz w:val="18"/>
          <w:szCs w:val="18"/>
          <w:lang w:val="ka-GE"/>
        </w:rPr>
        <w:t xml:space="preserve">გამოთვლისას გამოყენებულია გაცვლითი კურსი 2020 წლის 25 სექტემბრის მდგომარეობით:                 </w:t>
      </w:r>
      <w:r w:rsidR="003B0642" w:rsidRPr="00B73E97">
        <w:rPr>
          <w:rFonts w:ascii="Sylfaen" w:hAnsi="Sylfaen"/>
          <w:sz w:val="18"/>
          <w:szCs w:val="18"/>
          <w:lang w:val="ka-GE"/>
        </w:rPr>
        <w:tab/>
      </w:r>
      <w:r w:rsidR="00B44456">
        <w:rPr>
          <w:rFonts w:ascii="Sylfaen" w:hAnsi="Sylfaen"/>
          <w:sz w:val="18"/>
          <w:szCs w:val="18"/>
          <w:lang w:val="ka-GE"/>
        </w:rPr>
        <w:t>1</w:t>
      </w:r>
      <w:r w:rsidR="00B44456" w:rsidRPr="00000B59">
        <w:rPr>
          <w:rFonts w:ascii="Sylfaen" w:hAnsi="Sylfaen"/>
          <w:sz w:val="18"/>
          <w:szCs w:val="18"/>
          <w:lang w:val="ka-GE"/>
        </w:rPr>
        <w:t>EUR = 3.8292 GEL; 1 SDR = 4.6311 GEL; 10 CNY = 4.82 GEL; 100 JPY = 3.12 GEL; 1 KWD =10.7366 GEL; 1 USD = 3.2897 GEL;</w:t>
      </w:r>
    </w:p>
    <w:sectPr w:rsidR="00B44456" w:rsidRPr="00000B59" w:rsidSect="00C0485E">
      <w:footerReference w:type="default" r:id="rId11"/>
      <w:footerReference w:type="first" r:id="rId12"/>
      <w:pgSz w:w="11907" w:h="16839" w:code="9"/>
      <w:pgMar w:top="426" w:right="837" w:bottom="63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FDB06" w14:textId="77777777" w:rsidR="005F0045" w:rsidRDefault="005F0045" w:rsidP="00400BED">
      <w:pPr>
        <w:spacing w:after="0" w:line="240" w:lineRule="auto"/>
      </w:pPr>
      <w:r>
        <w:separator/>
      </w:r>
    </w:p>
  </w:endnote>
  <w:endnote w:type="continuationSeparator" w:id="0">
    <w:p w14:paraId="02C55462" w14:textId="77777777" w:rsidR="005F0045" w:rsidRDefault="005F0045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Bahnschrift Light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171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47F33" w14:textId="77777777" w:rsidR="00BD3AD8" w:rsidRDefault="00BD3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908FC3" w14:textId="77777777" w:rsidR="00BD3AD8" w:rsidRDefault="00BD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500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47161" w14:textId="77777777" w:rsidR="00BD3AD8" w:rsidRDefault="00BD3A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E3E40" w14:textId="77777777" w:rsidR="00BD3AD8" w:rsidRDefault="00BD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92DE9" w14:textId="77777777" w:rsidR="005F0045" w:rsidRDefault="005F0045" w:rsidP="00400BED">
      <w:pPr>
        <w:spacing w:after="0" w:line="240" w:lineRule="auto"/>
      </w:pPr>
      <w:r>
        <w:separator/>
      </w:r>
    </w:p>
  </w:footnote>
  <w:footnote w:type="continuationSeparator" w:id="0">
    <w:p w14:paraId="3EBA0D7E" w14:textId="77777777" w:rsidR="005F0045" w:rsidRDefault="005F0045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F5"/>
    <w:rsid w:val="00001E43"/>
    <w:rsid w:val="00012780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CF6"/>
    <w:rsid w:val="00032625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62B"/>
    <w:rsid w:val="00054AB0"/>
    <w:rsid w:val="0006312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D046A"/>
    <w:rsid w:val="000D159E"/>
    <w:rsid w:val="000D1A17"/>
    <w:rsid w:val="000D4D25"/>
    <w:rsid w:val="000D7D26"/>
    <w:rsid w:val="000E0438"/>
    <w:rsid w:val="000E2E32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818"/>
    <w:rsid w:val="00197E9D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401D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32BD"/>
    <w:rsid w:val="0035676A"/>
    <w:rsid w:val="00361883"/>
    <w:rsid w:val="00361F29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5CE1"/>
    <w:rsid w:val="003967C1"/>
    <w:rsid w:val="00396821"/>
    <w:rsid w:val="003A0E81"/>
    <w:rsid w:val="003A343D"/>
    <w:rsid w:val="003A4A93"/>
    <w:rsid w:val="003B0642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638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50D5"/>
    <w:rsid w:val="00485FD9"/>
    <w:rsid w:val="00490B44"/>
    <w:rsid w:val="00493136"/>
    <w:rsid w:val="00496409"/>
    <w:rsid w:val="00497DE1"/>
    <w:rsid w:val="004A3196"/>
    <w:rsid w:val="004A3DB0"/>
    <w:rsid w:val="004B1263"/>
    <w:rsid w:val="004B29BC"/>
    <w:rsid w:val="004B46E8"/>
    <w:rsid w:val="004B4EA6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3140C"/>
    <w:rsid w:val="0053399C"/>
    <w:rsid w:val="00534D33"/>
    <w:rsid w:val="0053506B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51C8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0045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4D8E"/>
    <w:rsid w:val="006578EC"/>
    <w:rsid w:val="00661B66"/>
    <w:rsid w:val="00663921"/>
    <w:rsid w:val="006663B1"/>
    <w:rsid w:val="00667DDB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7314"/>
    <w:rsid w:val="007449DE"/>
    <w:rsid w:val="00746294"/>
    <w:rsid w:val="007464DB"/>
    <w:rsid w:val="00746651"/>
    <w:rsid w:val="00750BCA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0F1A"/>
    <w:rsid w:val="00812C36"/>
    <w:rsid w:val="008153BB"/>
    <w:rsid w:val="00816EE6"/>
    <w:rsid w:val="00817C42"/>
    <w:rsid w:val="0082056D"/>
    <w:rsid w:val="00826C90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9F2"/>
    <w:rsid w:val="00914D8C"/>
    <w:rsid w:val="0091662B"/>
    <w:rsid w:val="009274F9"/>
    <w:rsid w:val="00927EE7"/>
    <w:rsid w:val="009330E5"/>
    <w:rsid w:val="009333B0"/>
    <w:rsid w:val="009335FA"/>
    <w:rsid w:val="00935F0A"/>
    <w:rsid w:val="009363B9"/>
    <w:rsid w:val="00941504"/>
    <w:rsid w:val="009453D8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6EA9"/>
    <w:rsid w:val="009D72B5"/>
    <w:rsid w:val="009D72DB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50002"/>
    <w:rsid w:val="00A5293F"/>
    <w:rsid w:val="00A56E3B"/>
    <w:rsid w:val="00A57273"/>
    <w:rsid w:val="00A6278E"/>
    <w:rsid w:val="00A63967"/>
    <w:rsid w:val="00A65964"/>
    <w:rsid w:val="00A67E3A"/>
    <w:rsid w:val="00A67F51"/>
    <w:rsid w:val="00A73AAA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99E"/>
    <w:rsid w:val="00AB0A72"/>
    <w:rsid w:val="00AB4534"/>
    <w:rsid w:val="00AB5A99"/>
    <w:rsid w:val="00AC1154"/>
    <w:rsid w:val="00AC1CC1"/>
    <w:rsid w:val="00AC21C9"/>
    <w:rsid w:val="00AC2209"/>
    <w:rsid w:val="00AD0BC4"/>
    <w:rsid w:val="00AD2AF0"/>
    <w:rsid w:val="00AD2D43"/>
    <w:rsid w:val="00AD59D0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3DB5"/>
    <w:rsid w:val="00BA6094"/>
    <w:rsid w:val="00BB2C5D"/>
    <w:rsid w:val="00BB4019"/>
    <w:rsid w:val="00BC132A"/>
    <w:rsid w:val="00BC168E"/>
    <w:rsid w:val="00BC505C"/>
    <w:rsid w:val="00BC5E24"/>
    <w:rsid w:val="00BC701E"/>
    <w:rsid w:val="00BC764D"/>
    <w:rsid w:val="00BD1D05"/>
    <w:rsid w:val="00BD3AD8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85E"/>
    <w:rsid w:val="00C04FBA"/>
    <w:rsid w:val="00C11D79"/>
    <w:rsid w:val="00C126E1"/>
    <w:rsid w:val="00C13117"/>
    <w:rsid w:val="00C136E3"/>
    <w:rsid w:val="00C15531"/>
    <w:rsid w:val="00C17F88"/>
    <w:rsid w:val="00C2136E"/>
    <w:rsid w:val="00C21AE9"/>
    <w:rsid w:val="00C240B6"/>
    <w:rsid w:val="00C31756"/>
    <w:rsid w:val="00C31F7F"/>
    <w:rsid w:val="00C32166"/>
    <w:rsid w:val="00C3279B"/>
    <w:rsid w:val="00C34061"/>
    <w:rsid w:val="00C3490A"/>
    <w:rsid w:val="00C367E2"/>
    <w:rsid w:val="00C36A3D"/>
    <w:rsid w:val="00C37E2F"/>
    <w:rsid w:val="00C40259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81C7D"/>
    <w:rsid w:val="00C91918"/>
    <w:rsid w:val="00C92D73"/>
    <w:rsid w:val="00C9602D"/>
    <w:rsid w:val="00C9708E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B15D9"/>
    <w:rsid w:val="00DB1C54"/>
    <w:rsid w:val="00DB2B66"/>
    <w:rsid w:val="00DB30DF"/>
    <w:rsid w:val="00DB657D"/>
    <w:rsid w:val="00DC24F5"/>
    <w:rsid w:val="00DC3604"/>
    <w:rsid w:val="00DD2856"/>
    <w:rsid w:val="00DD69EE"/>
    <w:rsid w:val="00DE18E6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46D7"/>
    <w:rsid w:val="00F003A7"/>
    <w:rsid w:val="00F01A27"/>
    <w:rsid w:val="00F07891"/>
    <w:rsid w:val="00F106FA"/>
    <w:rsid w:val="00F1522E"/>
    <w:rsid w:val="00F163EB"/>
    <w:rsid w:val="00F1789E"/>
    <w:rsid w:val="00F213DA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9483D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y%20Documents\MK\2021\Average%20Weighted%20Interest%20Rate_2020%2031%20AU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y%20Documents\MK\2021\Average%20Weighted%20Interest%20Rate_2020%2031%20AU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22%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974489905383094"/>
                  <c:y val="-2.4269375654468062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466848319709356"/>
                      <c:h val="0.160967184801381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6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78%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2759319395420399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17741805879415287"/>
          <c:w val="0.94279958547616971"/>
          <c:h val="0.82258194120584716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46D-4A93-A35E-2A359B3A5C2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946D-4A93-A35E-2A359B3A5C2C}"/>
              </c:ext>
            </c:extLst>
          </c:dPt>
          <c:dLbls>
            <c:dLbl>
              <c:idx val="0"/>
              <c:layout>
                <c:manualLayout>
                  <c:x val="-0.17637759073219303"/>
                  <c:y val="-0.14401605561023631"/>
                </c:manualLayout>
              </c:layout>
              <c:tx>
                <c:rich>
                  <a:bodyPr/>
                  <a:lstStyle/>
                  <a:p>
                    <a:fld id="{38A9DE4D-14D6-4041-8AC4-B3A9C5F1956F}" type="CATEGORYNAME">
                      <a:rPr lang="ka-GE" sz="700"/>
                      <a:pPr/>
                      <a:t>[CATEGORY NAME]</a:t>
                    </a:fld>
                    <a:r>
                      <a:rPr lang="ka-GE" sz="700" baseline="0"/>
                      <a:t>
</a:t>
                    </a:r>
                    <a:fld id="{3D9BB977-024E-425F-9856-A55C8B02923C}" type="PERCENTAGE">
                      <a:rPr lang="ka-GE" sz="700" baseline="0"/>
                      <a:pPr/>
                      <a:t>[PERCENTAGE]</a:t>
                    </a:fld>
                    <a:endParaRPr lang="ka-GE" sz="700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88772107646038"/>
                      <c:h val="0.3109507317480080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46D-4A93-A35E-2A359B3A5C2C}"/>
                </c:ext>
              </c:extLst>
            </c:dLbl>
            <c:dLbl>
              <c:idx val="1"/>
              <c:layout>
                <c:manualLayout>
                  <c:x val="0.23152448185356142"/>
                  <c:y val="7.74210291584645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83220200923157"/>
                      <c:h val="0.309152774360236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46D-4A93-A35E-2A359B3A5C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'AUG -20 GVT'!$L$37:$L$38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'AUG -20 GVT'!$M$37:$M$38</c:f>
              <c:numCache>
                <c:formatCode>_(* #,##0_);_(* \(#,##0\);_(* "-"??_);_(@_)</c:formatCode>
                <c:ptCount val="2"/>
                <c:pt idx="0">
                  <c:v>3470975.3722899994</c:v>
                </c:pt>
                <c:pt idx="1">
                  <c:v>3032203.9079999998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6D-4A93-A35E-2A359B3A5C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861-4C28-9C05-923B135DB64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861-4C28-9C05-923B135DB64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861-4C28-9C05-923B135DB64A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61-4C28-9C05-923B135DB64A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61-4C28-9C05-923B135DB64A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61-4C28-9C05-923B135DB64A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61-4C28-9C05-923B135DB64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 -20 GVT'!$K$48:$K$51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'AUG -20 GVT'!$M$48:$M$51</c:f>
              <c:numCache>
                <c:formatCode>0%</c:formatCode>
                <c:ptCount val="4"/>
                <c:pt idx="0">
                  <c:v>0.395329298977185</c:v>
                </c:pt>
                <c:pt idx="1">
                  <c:v>0.2845876689282153</c:v>
                </c:pt>
                <c:pt idx="2">
                  <c:v>0.28577386324295301</c:v>
                </c:pt>
                <c:pt idx="3">
                  <c:v>3.4309168851646719E-2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861-4C28-9C05-923B135DB64A}"/>
            </c:ext>
          </c:extLst>
        </c:ser>
        <c:ser>
          <c:idx val="1"/>
          <c:order val="1"/>
          <c:explosion val="25"/>
          <c:cat>
            <c:strRef>
              <c:f>'AUG -20 GVT'!$K$48:$K$51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'AUG -20 GVT'!$M$47:$M$51</c:f>
              <c:numCache>
                <c:formatCode>0%</c:formatCode>
                <c:ptCount val="5"/>
                <c:pt idx="1">
                  <c:v>0.395329298977185</c:v>
                </c:pt>
                <c:pt idx="2">
                  <c:v>0.2845876689282153</c:v>
                </c:pt>
                <c:pt idx="3">
                  <c:v>0.28577386324295301</c:v>
                </c:pt>
                <c:pt idx="4">
                  <c:v>3.4309168851646719E-2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861-4C28-9C05-923B135DB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880C-BAD3-488A-8AAE-2281F202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Yuri Gurgenidze</cp:lastModifiedBy>
  <cp:revision>5</cp:revision>
  <cp:lastPrinted>2019-04-25T08:10:00Z</cp:lastPrinted>
  <dcterms:created xsi:type="dcterms:W3CDTF">2020-09-29T10:32:00Z</dcterms:created>
  <dcterms:modified xsi:type="dcterms:W3CDTF">2020-09-29T14:49:00Z</dcterms:modified>
</cp:coreProperties>
</file>